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140752">
        <w:rPr>
          <w:rFonts w:cs="Times New Roman"/>
          <w:sz w:val="22"/>
          <w:szCs w:val="22"/>
          <w:lang w:val="kk-KZ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CE5923">
        <w:rPr>
          <w:rFonts w:cs="Times New Roman"/>
          <w:sz w:val="22"/>
          <w:szCs w:val="22"/>
          <w:lang w:val="kk-KZ"/>
        </w:rPr>
        <w:t>июля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851"/>
        <w:gridCol w:w="1276"/>
        <w:gridCol w:w="1418"/>
      </w:tblGrid>
      <w:tr w:rsidR="003143CF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66ED0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566ED0" w:rsidRPr="00ED7BBE" w:rsidRDefault="00566ED0" w:rsidP="00566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04394C" w:rsidRDefault="0004394C" w:rsidP="0004394C">
            <w:pPr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Набор для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цистостомии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, стерильный, однократного применения, размером 12</w:t>
            </w:r>
            <w:r>
              <w:rPr>
                <w:b/>
                <w:sz w:val="22"/>
                <w:szCs w:val="22"/>
                <w:shd w:val="clear" w:color="auto" w:fill="FFFFFF"/>
                <w:lang w:val="en-US"/>
              </w:rPr>
              <w:t>F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и 14F, длиной 45 см</w:t>
            </w:r>
            <w:r>
              <w:rPr>
                <w:b/>
                <w:shd w:val="clear" w:color="auto" w:fill="FFFFFF"/>
              </w:rPr>
              <w:t xml:space="preserve">. </w:t>
            </w:r>
          </w:p>
          <w:p w:rsidR="0004394C" w:rsidRDefault="0004394C" w:rsidP="0004394C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Предназначен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для создания хирургическим путем искусственного надлобкового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мочепузырного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свища. Изделие асептическое,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апирогенное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стерилизованное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этиленоксидом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</w:t>
            </w:r>
          </w:p>
          <w:p w:rsidR="0004394C" w:rsidRDefault="0004394C" w:rsidP="0004394C">
            <w:pPr>
              <w:pStyle w:val="ae"/>
              <w:numPr>
                <w:ilvl w:val="0"/>
                <w:numId w:val="1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Катетер 12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4394C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или 14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4394C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длиной 45 см</w:t>
            </w:r>
          </w:p>
          <w:p w:rsidR="0004394C" w:rsidRDefault="0004394C" w:rsidP="0004394C">
            <w:pPr>
              <w:pStyle w:val="ae"/>
              <w:numPr>
                <w:ilvl w:val="0"/>
                <w:numId w:val="1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kk-KZ"/>
              </w:rPr>
              <w:t xml:space="preserve">Разрывная иглаөинтродьюсер </w:t>
            </w:r>
            <w:r>
              <w:rPr>
                <w:sz w:val="22"/>
                <w:szCs w:val="22"/>
                <w:shd w:val="clear" w:color="auto" w:fill="FFFFFF"/>
              </w:rPr>
              <w:t>12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4394C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kk-KZ"/>
              </w:rPr>
              <w:t>или 14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>
              <w:rPr>
                <w:sz w:val="22"/>
                <w:szCs w:val="22"/>
                <w:shd w:val="clear" w:color="auto" w:fill="FFFFFF"/>
              </w:rPr>
              <w:t>, длиной 120 мм</w:t>
            </w:r>
          </w:p>
          <w:p w:rsidR="0004394C" w:rsidRDefault="0004394C" w:rsidP="0004394C">
            <w:pPr>
              <w:pStyle w:val="ae"/>
              <w:numPr>
                <w:ilvl w:val="0"/>
                <w:numId w:val="1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Кожный фиксатор</w:t>
            </w:r>
          </w:p>
          <w:p w:rsidR="0004394C" w:rsidRDefault="0004394C" w:rsidP="0004394C">
            <w:pPr>
              <w:pStyle w:val="ae"/>
              <w:numPr>
                <w:ilvl w:val="0"/>
                <w:numId w:val="1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Шприц 10 мл</w:t>
            </w:r>
          </w:p>
          <w:p w:rsidR="0004394C" w:rsidRDefault="0004394C" w:rsidP="0004394C">
            <w:pPr>
              <w:pStyle w:val="ae"/>
              <w:numPr>
                <w:ilvl w:val="0"/>
                <w:numId w:val="1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Скальпель</w:t>
            </w:r>
          </w:p>
          <w:p w:rsidR="0004394C" w:rsidRDefault="0004394C" w:rsidP="0004394C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Зажим</w:t>
            </w:r>
          </w:p>
          <w:p w:rsidR="00566ED0" w:rsidRPr="00566ED0" w:rsidRDefault="00566ED0" w:rsidP="00566ED0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66ED0" w:rsidRPr="00566ED0" w:rsidRDefault="0004394C" w:rsidP="00566E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66ED0" w:rsidRPr="00566ED0" w:rsidRDefault="0004394C" w:rsidP="00566E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6ED0" w:rsidRPr="00566ED0" w:rsidRDefault="0004394C" w:rsidP="00566E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6ED0" w:rsidRPr="00566ED0" w:rsidRDefault="0004394C" w:rsidP="00566E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175 000,00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04394C">
        <w:rPr>
          <w:rFonts w:cs="Times New Roman"/>
          <w:sz w:val="22"/>
          <w:szCs w:val="22"/>
          <w:lang w:val="kk-KZ"/>
        </w:rPr>
        <w:t>175 000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04394C">
        <w:rPr>
          <w:rFonts w:cs="Times New Roman"/>
          <w:sz w:val="22"/>
          <w:szCs w:val="22"/>
        </w:rPr>
        <w:t>сто семьдесят пять тысяч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04394C">
        <w:rPr>
          <w:rFonts w:cs="Times New Roman"/>
          <w:sz w:val="22"/>
          <w:szCs w:val="22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0B3AFE">
        <w:rPr>
          <w:rFonts w:cs="Times New Roman"/>
          <w:sz w:val="22"/>
          <w:szCs w:val="22"/>
          <w:lang w:val="kk-KZ"/>
        </w:rPr>
        <w:t>7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4394C">
        <w:rPr>
          <w:rFonts w:cs="Times New Roman"/>
          <w:sz w:val="22"/>
          <w:szCs w:val="22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0B3AFE">
        <w:rPr>
          <w:rFonts w:cs="Times New Roman"/>
          <w:sz w:val="22"/>
          <w:szCs w:val="22"/>
          <w:lang w:val="kk-KZ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1.Потенциальный поставщик до истечения окончательного срока представления ценовых </w:t>
      </w:r>
      <w:r w:rsidRPr="001F24FA">
        <w:rPr>
          <w:rFonts w:cs="Times New Roman"/>
          <w:sz w:val="22"/>
          <w:szCs w:val="22"/>
        </w:rPr>
        <w:lastRenderedPageBreak/>
        <w:t>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2) копию документа, предоставляющего право на осуществление предпринимательской </w:t>
      </w:r>
      <w:r w:rsidRPr="001F24FA">
        <w:rPr>
          <w:rStyle w:val="s0"/>
          <w:color w:val="auto"/>
          <w:sz w:val="22"/>
          <w:szCs w:val="22"/>
        </w:rPr>
        <w:lastRenderedPageBreak/>
        <w:t>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gramStart"/>
      <w:r>
        <w:rPr>
          <w:rFonts w:cs="Times New Roman"/>
          <w:b/>
          <w:sz w:val="22"/>
          <w:szCs w:val="22"/>
        </w:rPr>
        <w:t>.</w:t>
      </w:r>
      <w:r w:rsidR="0080080F" w:rsidRPr="001F24FA">
        <w:rPr>
          <w:rFonts w:cs="Times New Roman"/>
          <w:b/>
          <w:sz w:val="22"/>
          <w:szCs w:val="22"/>
        </w:rPr>
        <w:t>Н</w:t>
      </w:r>
      <w:proofErr w:type="gramEnd"/>
      <w:r w:rsidR="0080080F" w:rsidRPr="001F24FA">
        <w:rPr>
          <w:rFonts w:cs="Times New Roman"/>
          <w:b/>
          <w:sz w:val="22"/>
          <w:szCs w:val="22"/>
        </w:rPr>
        <w:t>ачальник</w:t>
      </w:r>
      <w:r>
        <w:rPr>
          <w:rFonts w:cs="Times New Roman"/>
          <w:b/>
          <w:sz w:val="22"/>
          <w:szCs w:val="22"/>
        </w:rPr>
        <w:t>а</w:t>
      </w:r>
      <w:proofErr w:type="spellEnd"/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P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D1B46"/>
    <w:rsid w:val="000D2585"/>
    <w:rsid w:val="000F573C"/>
    <w:rsid w:val="00124D58"/>
    <w:rsid w:val="00125CFE"/>
    <w:rsid w:val="00140752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B7960"/>
    <w:rsid w:val="004D03BF"/>
    <w:rsid w:val="004F493B"/>
    <w:rsid w:val="005044B8"/>
    <w:rsid w:val="00562323"/>
    <w:rsid w:val="00566ED0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9554B"/>
    <w:rsid w:val="00CA25CE"/>
    <w:rsid w:val="00CD1603"/>
    <w:rsid w:val="00CD1C30"/>
    <w:rsid w:val="00CE592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D7BBE"/>
    <w:rsid w:val="00F04A5C"/>
    <w:rsid w:val="00F1687D"/>
    <w:rsid w:val="00F23760"/>
    <w:rsid w:val="00F93821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156F-0487-4DED-BCB6-236F867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21</cp:revision>
  <cp:lastPrinted>2020-07-24T06:46:00Z</cp:lastPrinted>
  <dcterms:created xsi:type="dcterms:W3CDTF">2020-05-05T09:49:00Z</dcterms:created>
  <dcterms:modified xsi:type="dcterms:W3CDTF">2020-07-24T06:46:00Z</dcterms:modified>
</cp:coreProperties>
</file>