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0F573C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0F573C">
        <w:rPr>
          <w:rFonts w:cs="Times New Roman"/>
          <w:b/>
          <w:sz w:val="22"/>
          <w:szCs w:val="22"/>
        </w:rPr>
        <w:t>Объявления</w:t>
      </w:r>
    </w:p>
    <w:p w:rsidR="0080080F" w:rsidRPr="000F573C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0F573C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0F573C" w:rsidRDefault="0080080F" w:rsidP="00AF5191">
      <w:pPr>
        <w:rPr>
          <w:rFonts w:cs="Times New Roman"/>
          <w:sz w:val="22"/>
          <w:szCs w:val="22"/>
        </w:rPr>
      </w:pPr>
    </w:p>
    <w:p w:rsidR="0080080F" w:rsidRPr="000F573C" w:rsidRDefault="0080080F" w:rsidP="00AF5191">
      <w:pPr>
        <w:rPr>
          <w:rFonts w:cs="Times New Roman"/>
          <w:sz w:val="22"/>
          <w:szCs w:val="22"/>
        </w:rPr>
      </w:pPr>
      <w:proofErr w:type="spellStart"/>
      <w:r w:rsidRPr="000F573C">
        <w:rPr>
          <w:rFonts w:cs="Times New Roman"/>
          <w:sz w:val="22"/>
          <w:szCs w:val="22"/>
        </w:rPr>
        <w:t>г</w:t>
      </w:r>
      <w:proofErr w:type="gramStart"/>
      <w:r w:rsidRPr="000F573C">
        <w:rPr>
          <w:rFonts w:cs="Times New Roman"/>
          <w:sz w:val="22"/>
          <w:szCs w:val="22"/>
        </w:rPr>
        <w:t>.А</w:t>
      </w:r>
      <w:proofErr w:type="gramEnd"/>
      <w:r w:rsidRPr="000F573C">
        <w:rPr>
          <w:rFonts w:cs="Times New Roman"/>
          <w:sz w:val="22"/>
          <w:szCs w:val="22"/>
        </w:rPr>
        <w:t>лматы</w:t>
      </w:r>
      <w:proofErr w:type="spellEnd"/>
      <w:r w:rsidRPr="000F573C">
        <w:rPr>
          <w:rFonts w:cs="Times New Roman"/>
          <w:sz w:val="22"/>
          <w:szCs w:val="22"/>
        </w:rPr>
        <w:t xml:space="preserve"> </w:t>
      </w:r>
      <w:r w:rsidRPr="000F573C">
        <w:rPr>
          <w:rFonts w:cs="Times New Roman"/>
          <w:sz w:val="22"/>
          <w:szCs w:val="22"/>
        </w:rPr>
        <w:tab/>
      </w:r>
      <w:r w:rsidRPr="000F573C">
        <w:rPr>
          <w:rFonts w:cs="Times New Roman"/>
          <w:sz w:val="22"/>
          <w:szCs w:val="22"/>
        </w:rPr>
        <w:tab/>
      </w:r>
      <w:r w:rsidRPr="000F573C">
        <w:rPr>
          <w:rFonts w:cs="Times New Roman"/>
          <w:sz w:val="22"/>
          <w:szCs w:val="22"/>
        </w:rPr>
        <w:tab/>
      </w:r>
      <w:r w:rsidRPr="000F573C">
        <w:rPr>
          <w:rFonts w:cs="Times New Roman"/>
          <w:sz w:val="22"/>
          <w:szCs w:val="22"/>
        </w:rPr>
        <w:tab/>
      </w:r>
      <w:r w:rsidRPr="000F573C">
        <w:rPr>
          <w:rFonts w:cs="Times New Roman"/>
          <w:sz w:val="22"/>
          <w:szCs w:val="22"/>
        </w:rPr>
        <w:tab/>
      </w:r>
      <w:r w:rsidRPr="000F573C">
        <w:rPr>
          <w:rFonts w:cs="Times New Roman"/>
          <w:sz w:val="22"/>
          <w:szCs w:val="22"/>
        </w:rPr>
        <w:tab/>
      </w:r>
      <w:r w:rsidRPr="000F573C">
        <w:rPr>
          <w:rFonts w:cs="Times New Roman"/>
          <w:sz w:val="22"/>
          <w:szCs w:val="22"/>
        </w:rPr>
        <w:tab/>
      </w:r>
      <w:r w:rsidR="00562323" w:rsidRPr="000F573C">
        <w:rPr>
          <w:rFonts w:cs="Times New Roman"/>
          <w:sz w:val="22"/>
          <w:szCs w:val="22"/>
        </w:rPr>
        <w:tab/>
      </w:r>
      <w:r w:rsidR="00562323" w:rsidRPr="000F573C">
        <w:rPr>
          <w:rFonts w:cs="Times New Roman"/>
          <w:sz w:val="22"/>
          <w:szCs w:val="22"/>
        </w:rPr>
        <w:tab/>
      </w:r>
      <w:r w:rsidRPr="000F573C">
        <w:rPr>
          <w:rFonts w:cs="Times New Roman"/>
          <w:sz w:val="22"/>
          <w:szCs w:val="22"/>
        </w:rPr>
        <w:t xml:space="preserve"> «</w:t>
      </w:r>
      <w:r w:rsidR="00E11270" w:rsidRPr="000F573C">
        <w:rPr>
          <w:rFonts w:cs="Times New Roman"/>
          <w:sz w:val="22"/>
          <w:szCs w:val="22"/>
        </w:rPr>
        <w:t>25</w:t>
      </w:r>
      <w:r w:rsidRPr="000F573C">
        <w:rPr>
          <w:rFonts w:cs="Times New Roman"/>
          <w:sz w:val="22"/>
          <w:szCs w:val="22"/>
        </w:rPr>
        <w:t xml:space="preserve">» </w:t>
      </w:r>
      <w:r w:rsidR="003556EC" w:rsidRPr="000F573C">
        <w:rPr>
          <w:rFonts w:cs="Times New Roman"/>
          <w:sz w:val="22"/>
          <w:szCs w:val="22"/>
        </w:rPr>
        <w:t>января</w:t>
      </w:r>
      <w:r w:rsidRPr="000F573C">
        <w:rPr>
          <w:rFonts w:cs="Times New Roman"/>
          <w:sz w:val="22"/>
          <w:szCs w:val="22"/>
        </w:rPr>
        <w:t xml:space="preserve"> 201</w:t>
      </w:r>
      <w:r w:rsidR="003556EC" w:rsidRPr="000F573C">
        <w:rPr>
          <w:rFonts w:cs="Times New Roman"/>
          <w:sz w:val="22"/>
          <w:szCs w:val="22"/>
        </w:rPr>
        <w:t>9</w:t>
      </w:r>
      <w:r w:rsidRPr="000F573C">
        <w:rPr>
          <w:rFonts w:cs="Times New Roman"/>
          <w:sz w:val="22"/>
          <w:szCs w:val="22"/>
        </w:rPr>
        <w:t xml:space="preserve"> года</w:t>
      </w:r>
    </w:p>
    <w:p w:rsidR="0080080F" w:rsidRPr="000F573C" w:rsidRDefault="0080080F" w:rsidP="00AF5191">
      <w:pPr>
        <w:rPr>
          <w:rFonts w:cs="Times New Roman"/>
          <w:sz w:val="22"/>
          <w:szCs w:val="22"/>
        </w:rPr>
      </w:pPr>
    </w:p>
    <w:p w:rsidR="0080080F" w:rsidRPr="000F573C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0F573C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573C">
        <w:rPr>
          <w:rFonts w:cs="Times New Roman"/>
          <w:sz w:val="22"/>
          <w:szCs w:val="22"/>
        </w:rPr>
        <w:t>Сызганова</w:t>
      </w:r>
      <w:proofErr w:type="spellEnd"/>
      <w:r w:rsidRPr="000F573C">
        <w:rPr>
          <w:rFonts w:cs="Times New Roman"/>
          <w:sz w:val="22"/>
          <w:szCs w:val="22"/>
        </w:rPr>
        <w:t xml:space="preserve">» в соответствии с </w:t>
      </w:r>
      <w:r w:rsidRPr="000F573C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F573C">
        <w:rPr>
          <w:rStyle w:val="s1"/>
          <w:b w:val="0"/>
          <w:sz w:val="22"/>
          <w:szCs w:val="22"/>
        </w:rPr>
        <w:t xml:space="preserve"> (</w:t>
      </w:r>
      <w:proofErr w:type="gramStart"/>
      <w:r w:rsidRPr="000F573C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0F573C" w:rsidRDefault="0080080F" w:rsidP="003469CF">
      <w:pPr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0F573C">
        <w:rPr>
          <w:rFonts w:cs="Times New Roman"/>
          <w:sz w:val="22"/>
          <w:szCs w:val="22"/>
        </w:rPr>
        <w:t>Сызганова</w:t>
      </w:r>
      <w:proofErr w:type="spellEnd"/>
      <w:r w:rsidRPr="000F573C">
        <w:rPr>
          <w:rFonts w:cs="Times New Roman"/>
          <w:sz w:val="22"/>
          <w:szCs w:val="22"/>
        </w:rPr>
        <w:t>»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0F573C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proofErr w:type="spellStart"/>
      <w:r w:rsidR="00E11270"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госудасртвенных</w:t>
      </w:r>
      <w:proofErr w:type="spellEnd"/>
      <w:r w:rsidR="00E11270"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573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0F573C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573C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573C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0F573C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542" w:type="dxa"/>
        <w:jc w:val="center"/>
        <w:tblInd w:w="-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430"/>
        <w:gridCol w:w="3810"/>
        <w:gridCol w:w="874"/>
        <w:gridCol w:w="949"/>
        <w:gridCol w:w="1080"/>
        <w:gridCol w:w="1516"/>
      </w:tblGrid>
      <w:tr w:rsidR="000F573C" w:rsidRPr="000F573C" w:rsidTr="000F573C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К</w:t>
            </w:r>
            <w:r w:rsidR="00CD1C30" w:rsidRPr="000F573C">
              <w:rPr>
                <w:rFonts w:cs="Times New Roman"/>
                <w:b/>
                <w:sz w:val="20"/>
                <w:szCs w:val="20"/>
              </w:rPr>
              <w:t>ол</w:t>
            </w:r>
            <w:r w:rsidRPr="000F573C">
              <w:rPr>
                <w:rFonts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0F573C" w:rsidRDefault="003249AB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573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573C">
              <w:rPr>
                <w:rFonts w:cs="Times New Roman"/>
                <w:sz w:val="20"/>
                <w:szCs w:val="20"/>
              </w:rPr>
              <w:t>Высокопоточный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капилярный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диализатор с площадью мембраны 2,0-2,2 м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573C">
              <w:rPr>
                <w:rFonts w:cs="Times New Roman"/>
                <w:sz w:val="20"/>
                <w:szCs w:val="20"/>
              </w:rPr>
              <w:t>Высокопоточный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капилярный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диализатор с площадью мембраны 2,0-2,2 м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>, Тип-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капилярный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>. Синтетическая мембрана – сополимер полиамида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лощадь мембраны 2,0-2,2 м2. Объем заполнения не более 123 мл. Коэффициент ультрафильтрации (условия измерения: бычья кровь, гематокрит 32%, белок крови 60г/л, температура 37 С) от 14 до 16 мл/час * мм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рт.ст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КоА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для мочевины не менее 1265. Внутренний диаметр волокна не менее 215µm. Толщина стенки волокна не менее 50 µm. Максимальное трансмембранное давление не менее 600 мм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Hg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. Клиренс веществ не менее: мочевина 275 мл/мин,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креатинин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246 мл/мин, фосфаты 218 мл/мин, витамин В12 – 131 мл/мин. (при кровотоке 300 мл/мин, потоке диализата 500 мл/мин). Метод стерилизации: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автоклавирование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316,00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5 500,00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1 738 000,00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573C">
              <w:rPr>
                <w:rFonts w:cs="Times New Roman"/>
                <w:sz w:val="20"/>
                <w:szCs w:val="20"/>
              </w:rPr>
              <w:t>Кровопроводящие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магистрали для гемодиализа в наборе артерия-вена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кровопроводящих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магистралей для гемодиализа стерильный, однократного применения.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Кровопроводящие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магистрали 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 стандартной процедуры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гемодализа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. Технические характеристики: тип материал: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кровопроводящая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</w:t>
            </w:r>
            <w:r w:rsidRPr="000F573C">
              <w:rPr>
                <w:rFonts w:cs="Times New Roman"/>
                <w:sz w:val="20"/>
                <w:szCs w:val="20"/>
              </w:rPr>
              <w:lastRenderedPageBreak/>
              <w:t xml:space="preserve">объем наполнения 158 мл. Стерилизация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этиленоксидом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. Разъемы должны быть выполнены типа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Luer-lock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и иметь цветную (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красную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>/синюю) маркировку.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F573C">
              <w:rPr>
                <w:rFonts w:cs="Times New Roman"/>
                <w:sz w:val="20"/>
                <w:szCs w:val="20"/>
              </w:rPr>
              <w:lastRenderedPageBreak/>
              <w:t>ш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>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316,00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1 650,00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521 400,00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Диализатор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каппилярный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Капиллярный диализатор (</w:t>
            </w:r>
            <w:proofErr w:type="spell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высокопоточный</w:t>
            </w:r>
            <w:proofErr w:type="spell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  <w:r w:rsidRPr="000F573C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для аппарата </w:t>
            </w:r>
            <w:proofErr w:type="spellStart"/>
            <w:r w:rsidRPr="000F573C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Diapact</w:t>
            </w:r>
            <w:proofErr w:type="spell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CRRT</w:t>
            </w:r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предназначен  для проведения гемодиализа, </w:t>
            </w:r>
            <w:proofErr w:type="spell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гемодиафильтрации</w:t>
            </w:r>
            <w:proofErr w:type="spell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гемофильтрации</w:t>
            </w:r>
            <w:proofErr w:type="spell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: внутренний диаметр-200 мм, толщина стенок 40 мм, метод стерилизации </w:t>
            </w:r>
            <w:proofErr w:type="gram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-г</w:t>
            </w:r>
            <w:proofErr w:type="gram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амма; площадь поверхности мембраны 1,8 </w:t>
            </w:r>
            <w:proofErr w:type="spell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; коэффициент ультрафильтрации 55 мл/</w:t>
            </w:r>
            <w:proofErr w:type="spell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чмм</w:t>
            </w:r>
            <w:proofErr w:type="spell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ртст</w:t>
            </w:r>
            <w:proofErr w:type="spell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; поток крови 200 мл в мин; мочевина 192 мл в мин; креатинин182 мл в мин; фосфаты 180 мл </w:t>
            </w:r>
            <w:proofErr w:type="gram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мин</w:t>
            </w:r>
            <w:proofErr w:type="gramEnd"/>
            <w:r w:rsidRPr="000F573C">
              <w:rPr>
                <w:rFonts w:cs="Times New Roman"/>
                <w:sz w:val="20"/>
                <w:szCs w:val="20"/>
                <w:shd w:val="clear" w:color="auto" w:fill="FFFFFF"/>
              </w:rPr>
              <w:t>; витамин В12 -137 мл в мин; инсулин 109 мл в мин; объем заполнения крови 110 мл;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12,00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6 350,00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76 200,00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Набор магистралей для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гемофильтрации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и гемодиализа для аппарата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Diapact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CRRT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Набор магистралей для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гемофильтрации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и гемодиализа для аппарата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Diapact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CRRT. Изделия изготовлены из полимерного пластика, содержащего пластифицированный поливинилхлорид. 90% продукции представляет собой пластифицированную трубку из поливинилхлорида различной конфигурации с зажимами, клапанами и ловушками,  а также мешки емкостью до 7000 мл для сбора отработанного раствора. Стерилизация - 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этилен оксидом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. Набор стерильных магистралей в виде установочного сета для проведения процедур гемодиализа и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гемофильтрации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совместим с аппаратом для проведения процедур внепочечного очищения крови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Diapact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CRRT. Наборы магистралей промаркированы для исключения ошибок при их установке. Один и тот же набор магистралей может быть использован как при проведении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гемофильтрации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предилюцией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, так и с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постдилюцией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. Универсальность магистралей позволяет изменять тип процедуры прямо в ходе лечения. Отдельная комплектация магистралей и фильтров позволяет производить замену (например, при тромбозе) без дополнительных затрат. Комплектация и технические характеристики: 1) Артериальная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кровопроводящая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магистраль, включающая: насосный сегмент, воздушную ловушку, отведения для измерения артериального давления и PBE; 2) Венозная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кровопроводящая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магистраль, включающая: воздушную ловушку, отведение для измерения венозного 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давления-наличие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; 3) Входная магистраль диализата (магистраль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субституата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), включающая: насосный сегмент, нагревательный сегмент, отвод для измерения давления диализата; 4) Выходная магистраль диализата (магистраль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ультрафильтрата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), включающая: насосный сегмент, отведение для измерения давления; 5) Мешок для сбора жидкости </w:t>
            </w:r>
            <w:r w:rsidRPr="000F573C">
              <w:rPr>
                <w:rFonts w:cs="Times New Roman"/>
                <w:sz w:val="20"/>
                <w:szCs w:val="20"/>
              </w:rPr>
              <w:lastRenderedPageBreak/>
              <w:t xml:space="preserve">(диализата/фильтрата) на 7000 мл – 2 </w:t>
            </w:r>
            <w:proofErr w:type="spellStart"/>
            <w:proofErr w:type="gramStart"/>
            <w:r w:rsidRPr="000F573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; Зажимы на всех магистралях;  Универсальные разъёмы для диализаторов,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гемофильтров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и пакетов с растворами различных производителей. Стерилизация - гамма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35 206,00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352 060,00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Катетер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гемодиализный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рентгеноконтрастный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длина 20 см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1270" w:rsidRPr="000F573C" w:rsidRDefault="00AA1CC0" w:rsidP="000F573C">
            <w:pPr>
              <w:pStyle w:val="a3"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F573C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 xml:space="preserve">Центральный венозный катетер для гемодиализа </w:t>
            </w:r>
            <w:proofErr w:type="spellStart"/>
            <w:r w:rsidRPr="000F573C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ренгеноконтрастный</w:t>
            </w:r>
            <w:proofErr w:type="spellEnd"/>
            <w:r w:rsidRPr="000F573C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 xml:space="preserve"> 12 FR. </w:t>
            </w:r>
            <w:proofErr w:type="gramStart"/>
            <w:r w:rsidRPr="000F573C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Стерильное</w:t>
            </w:r>
            <w:proofErr w:type="gramEnd"/>
            <w:r w:rsidRPr="000F573C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 xml:space="preserve"> для однократного применения</w:t>
            </w:r>
            <w:r w:rsidRPr="000F573C">
              <w:rPr>
                <w:rStyle w:val="ac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pStyle w:val="a3"/>
              <w:jc w:val="center"/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</w:pPr>
            <w:r w:rsidRPr="000F573C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штук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13 500,00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270 000,00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Раствор лимонной кислоты для обработки аппаратов искусственной почки, 6 л.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тепло-дезинфекции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, очищенная,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декальцификации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гемодиализных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 в зависимости от рекомендаций производителей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гемодиализных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аппаратов. Оказывает бактерицидное,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фунгицидное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туберкулоцидное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, противовирусное (в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тос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числе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Парвовирусы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>, Вирус Гепатита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гр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/мл. Состав: 1000 мл содержат 500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гр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</w:t>
            </w:r>
            <w:r w:rsidR="000F573C" w:rsidRPr="000F573C">
              <w:rPr>
                <w:rFonts w:cs="Times New Roman"/>
                <w:sz w:val="20"/>
                <w:szCs w:val="20"/>
              </w:rPr>
              <w:t>производителя</w:t>
            </w:r>
            <w:r w:rsidRPr="000F573C">
              <w:rPr>
                <w:rFonts w:cs="Times New Roman"/>
                <w:sz w:val="20"/>
                <w:szCs w:val="20"/>
              </w:rPr>
              <w:t>, от 15 до 20 минут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0F573C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17 000,00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170 000,00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плазмофереза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PCS-2 в комплекте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плазмафереза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в комплекте: Одноразовый комплект расходных </w:t>
            </w:r>
            <w:proofErr w:type="gramStart"/>
            <w:r w:rsidRPr="000F573C">
              <w:rPr>
                <w:rFonts w:cs="Times New Roman"/>
                <w:sz w:val="20"/>
                <w:szCs w:val="20"/>
              </w:rPr>
              <w:t>материалов</w:t>
            </w:r>
            <w:proofErr w:type="gramEnd"/>
            <w:r w:rsidRPr="000F573C">
              <w:rPr>
                <w:rFonts w:cs="Times New Roman"/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0F573C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140,00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13 570,00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1 899 800,00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Соль  таблетирования д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ля </w:t>
            </w:r>
            <w:r w:rsidR="00E11270" w:rsidRPr="000F573C">
              <w:rPr>
                <w:rFonts w:cs="Times New Roman"/>
                <w:sz w:val="20"/>
                <w:szCs w:val="20"/>
              </w:rPr>
              <w:t>системы водоподготовки 25кг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Соль  таблетирования д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ля </w:t>
            </w:r>
            <w:r w:rsidRPr="000F573C">
              <w:rPr>
                <w:rFonts w:cs="Times New Roman"/>
                <w:sz w:val="20"/>
                <w:szCs w:val="20"/>
              </w:rPr>
              <w:t>системы водоподготовки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в мешках по </w:t>
            </w:r>
            <w:r w:rsidRPr="000F573C">
              <w:rPr>
                <w:rFonts w:cs="Times New Roman"/>
                <w:sz w:val="20"/>
                <w:szCs w:val="20"/>
              </w:rPr>
              <w:t>25кг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</w:rPr>
              <w:t>(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>для гемодиализа</w:t>
            </w:r>
            <w:r w:rsidRPr="000F573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мешок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12 000,00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120 000,00</w:t>
            </w:r>
          </w:p>
        </w:tc>
      </w:tr>
      <w:tr w:rsidR="000F573C" w:rsidRPr="000F573C" w:rsidTr="000F573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F573C">
              <w:rPr>
                <w:rFonts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Фильтр диализной жидкости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270" w:rsidRPr="000F573C" w:rsidRDefault="00AA1CC0" w:rsidP="000F573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F573C">
              <w:rPr>
                <w:rFonts w:cs="Times New Roman"/>
                <w:sz w:val="20"/>
                <w:szCs w:val="20"/>
                <w:lang w:val="kk-KZ"/>
              </w:rPr>
              <w:t>Фильтр для диализной жидкости для гнмодиализного аппарата</w:t>
            </w:r>
            <w:r w:rsidRPr="000F573C">
              <w:rPr>
                <w:rFonts w:cs="Times New Roman"/>
                <w:sz w:val="20"/>
                <w:szCs w:val="20"/>
              </w:rPr>
              <w:t>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: </w:t>
            </w:r>
            <w:r w:rsidRPr="000F573C">
              <w:rPr>
                <w:rFonts w:cs="Times New Roman"/>
                <w:sz w:val="20"/>
                <w:szCs w:val="20"/>
              </w:rPr>
              <w:t>Ретенция эндотоксина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</w:rPr>
              <w:t>&gt; 10</w:t>
            </w:r>
            <w:r w:rsidRPr="000F573C">
              <w:rPr>
                <w:rFonts w:cs="Times New Roman"/>
                <w:sz w:val="20"/>
                <w:szCs w:val="20"/>
                <w:vertAlign w:val="superscript"/>
              </w:rPr>
              <w:t>6</w:t>
            </w:r>
            <w:r w:rsidRPr="000F573C">
              <w:rPr>
                <w:rFonts w:cs="Times New Roman"/>
                <w:sz w:val="20"/>
                <w:szCs w:val="20"/>
                <w:vertAlign w:val="superscript"/>
                <w:lang w:val="kk-KZ"/>
              </w:rPr>
              <w:t xml:space="preserve">. </w:t>
            </w:r>
            <w:r w:rsidRPr="000F573C">
              <w:rPr>
                <w:rFonts w:cs="Times New Roman"/>
                <w:sz w:val="20"/>
                <w:szCs w:val="20"/>
              </w:rPr>
              <w:t>Период использования/ обмен фильтра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- </w:t>
            </w:r>
            <w:r w:rsidRPr="000F573C">
              <w:rPr>
                <w:rFonts w:cs="Times New Roman"/>
                <w:sz w:val="20"/>
                <w:szCs w:val="20"/>
              </w:rPr>
              <w:t>Макс. 12 недель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</w:rPr>
              <w:t xml:space="preserve">или 100 </w:t>
            </w:r>
            <w:proofErr w:type="spellStart"/>
            <w:r w:rsidRPr="000F573C">
              <w:rPr>
                <w:rFonts w:cs="Times New Roman"/>
                <w:sz w:val="20"/>
                <w:szCs w:val="20"/>
                <w:lang w:val="en-US"/>
              </w:rPr>
              <w:t>ONLINEplus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процедур или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непрохождение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 xml:space="preserve"> теста на целостность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 w:rsidRPr="000F573C">
              <w:rPr>
                <w:rFonts w:cs="Times New Roman"/>
                <w:sz w:val="20"/>
                <w:szCs w:val="20"/>
              </w:rPr>
              <w:t>Технические данные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>:</w:t>
            </w:r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</w:rPr>
              <w:lastRenderedPageBreak/>
              <w:t>Норма фильтрации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</w:rPr>
              <w:t xml:space="preserve">≥ 300 мл/ч*мм </w:t>
            </w:r>
            <w:proofErr w:type="spellStart"/>
            <w:r w:rsidRPr="000F573C">
              <w:rPr>
                <w:rFonts w:cs="Times New Roman"/>
                <w:sz w:val="20"/>
                <w:szCs w:val="20"/>
              </w:rPr>
              <w:t>рт.ст</w:t>
            </w:r>
            <w:proofErr w:type="spellEnd"/>
            <w:r w:rsidRPr="000F573C">
              <w:rPr>
                <w:rFonts w:cs="Times New Roman"/>
                <w:sz w:val="20"/>
                <w:szCs w:val="20"/>
              </w:rPr>
              <w:t>.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</w:rPr>
              <w:t>≥ 3,75 л/мин*бар. Максимальное давление фильтрации</w:t>
            </w:r>
            <w:r w:rsidRPr="000F573C">
              <w:rPr>
                <w:rFonts w:cs="Times New Roman"/>
                <w:sz w:val="20"/>
                <w:szCs w:val="20"/>
                <w:lang w:val="kk-KZ"/>
              </w:rPr>
              <w:t xml:space="preserve"> - </w:t>
            </w:r>
            <w:r w:rsidRPr="000F573C">
              <w:rPr>
                <w:rFonts w:cs="Times New Roman"/>
                <w:sz w:val="20"/>
                <w:szCs w:val="20"/>
              </w:rPr>
              <w:t xml:space="preserve">2 бар.  Материал корпуса – Полипропилен, Материал герметика – Полиуретан. Соединение с аппаратом - </w:t>
            </w:r>
            <w:r w:rsidRPr="000F573C">
              <w:rPr>
                <w:rFonts w:cs="Times New Roman"/>
                <w:sz w:val="20"/>
                <w:szCs w:val="20"/>
                <w:lang w:val="en-US"/>
              </w:rPr>
              <w:t>DIAFIX</w:t>
            </w:r>
            <w:r w:rsidRPr="000F573C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TM</w:t>
            </w:r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  <w:lang w:val="en-US"/>
              </w:rPr>
              <w:t>Lock</w:t>
            </w:r>
            <w:r w:rsidRPr="000F573C">
              <w:rPr>
                <w:rFonts w:cs="Times New Roman"/>
                <w:sz w:val="20"/>
                <w:szCs w:val="20"/>
              </w:rPr>
              <w:t xml:space="preserve"> </w:t>
            </w:r>
            <w:r w:rsidRPr="000F573C">
              <w:rPr>
                <w:rFonts w:cs="Times New Roman"/>
                <w:sz w:val="20"/>
                <w:szCs w:val="20"/>
                <w:lang w:val="en-US"/>
              </w:rPr>
              <w:t>system</w:t>
            </w:r>
            <w:r w:rsidRPr="000F573C">
              <w:rPr>
                <w:rFonts w:cs="Times New Roman"/>
                <w:sz w:val="20"/>
                <w:szCs w:val="20"/>
              </w:rPr>
              <w:t>. Площадь поверхности 2,2 м</w:t>
            </w:r>
            <w:proofErr w:type="gramStart"/>
            <w:r w:rsidRPr="000F573C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F573C">
              <w:rPr>
                <w:rFonts w:cs="Times New Roman"/>
                <w:sz w:val="20"/>
                <w:szCs w:val="20"/>
                <w:vertAlign w:val="superscript"/>
              </w:rPr>
              <w:t xml:space="preserve">. </w:t>
            </w:r>
            <w:r w:rsidRPr="000F573C">
              <w:rPr>
                <w:rFonts w:cs="Times New Roman"/>
                <w:sz w:val="20"/>
                <w:szCs w:val="20"/>
              </w:rPr>
              <w:t>Вес 170 г,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50 000,00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270" w:rsidRPr="000F573C" w:rsidRDefault="00E11270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73C">
              <w:rPr>
                <w:rFonts w:cs="Times New Roman"/>
                <w:sz w:val="20"/>
                <w:szCs w:val="20"/>
              </w:rPr>
              <w:t>500 000,00</w:t>
            </w:r>
          </w:p>
        </w:tc>
      </w:tr>
    </w:tbl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lastRenderedPageBreak/>
        <w:t xml:space="preserve">Выделенная сумма </w:t>
      </w:r>
      <w:r w:rsidR="00E11270" w:rsidRPr="000F573C">
        <w:rPr>
          <w:rFonts w:cs="Times New Roman"/>
          <w:color w:val="000000"/>
          <w:sz w:val="22"/>
          <w:szCs w:val="22"/>
          <w:lang w:val="kk-KZ"/>
        </w:rPr>
        <w:t>8 069 733,00</w:t>
      </w:r>
      <w:r w:rsidRPr="000F573C">
        <w:rPr>
          <w:rFonts w:cs="Times New Roman"/>
          <w:sz w:val="22"/>
          <w:szCs w:val="22"/>
        </w:rPr>
        <w:t xml:space="preserve"> (</w:t>
      </w:r>
      <w:r w:rsidR="00E11270" w:rsidRPr="000F573C">
        <w:rPr>
          <w:rFonts w:cs="Times New Roman"/>
          <w:sz w:val="22"/>
          <w:szCs w:val="22"/>
          <w:lang w:val="kk-KZ"/>
        </w:rPr>
        <w:t>восемь милллонов шестьдесять девять тысяч семьсот тридцать три</w:t>
      </w:r>
      <w:r w:rsidRPr="000F573C">
        <w:rPr>
          <w:rFonts w:cs="Times New Roman"/>
          <w:sz w:val="22"/>
          <w:szCs w:val="22"/>
        </w:rPr>
        <w:t>) тенге.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573C">
        <w:rPr>
          <w:rFonts w:cs="Times New Roman"/>
          <w:sz w:val="22"/>
          <w:szCs w:val="22"/>
        </w:rPr>
        <w:t xml:space="preserve">5- х календарных дней </w:t>
      </w:r>
      <w:r w:rsidRPr="000F573C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573C">
        <w:rPr>
          <w:rFonts w:cs="Times New Roman"/>
          <w:sz w:val="22"/>
          <w:szCs w:val="22"/>
        </w:rPr>
        <w:t>Сызганова</w:t>
      </w:r>
      <w:proofErr w:type="spellEnd"/>
      <w:r w:rsidRPr="000F573C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573C">
        <w:rPr>
          <w:rFonts w:cs="Times New Roman"/>
          <w:sz w:val="22"/>
          <w:szCs w:val="22"/>
        </w:rPr>
        <w:t>Алмалинский</w:t>
      </w:r>
      <w:proofErr w:type="spellEnd"/>
      <w:r w:rsidR="00562323" w:rsidRPr="000F573C">
        <w:rPr>
          <w:rFonts w:cs="Times New Roman"/>
          <w:sz w:val="22"/>
          <w:szCs w:val="22"/>
        </w:rPr>
        <w:t xml:space="preserve"> </w:t>
      </w:r>
      <w:proofErr w:type="gramStart"/>
      <w:r w:rsidRPr="000F573C">
        <w:rPr>
          <w:rFonts w:cs="Times New Roman"/>
          <w:sz w:val="22"/>
          <w:szCs w:val="22"/>
        </w:rPr>
        <w:t>р</w:t>
      </w:r>
      <w:proofErr w:type="gramEnd"/>
      <w:r w:rsidRPr="000F573C">
        <w:rPr>
          <w:rFonts w:cs="Times New Roman"/>
          <w:sz w:val="22"/>
          <w:szCs w:val="22"/>
        </w:rPr>
        <w:t xml:space="preserve">/н, ул. </w:t>
      </w:r>
      <w:proofErr w:type="spellStart"/>
      <w:r w:rsidRPr="000F573C">
        <w:rPr>
          <w:rFonts w:cs="Times New Roman"/>
          <w:sz w:val="22"/>
          <w:szCs w:val="22"/>
        </w:rPr>
        <w:t>Желтоксан</w:t>
      </w:r>
      <w:proofErr w:type="spellEnd"/>
      <w:r w:rsidRPr="000F573C">
        <w:rPr>
          <w:rFonts w:cs="Times New Roman"/>
          <w:sz w:val="22"/>
          <w:szCs w:val="22"/>
        </w:rPr>
        <w:t>, 62, аптечный склад.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573C">
        <w:rPr>
          <w:rFonts w:cs="Times New Roman"/>
          <w:sz w:val="22"/>
          <w:szCs w:val="22"/>
        </w:rPr>
        <w:t>Алмалинский</w:t>
      </w:r>
      <w:proofErr w:type="spellEnd"/>
      <w:r w:rsidRPr="000F573C">
        <w:rPr>
          <w:rFonts w:cs="Times New Roman"/>
          <w:sz w:val="22"/>
          <w:szCs w:val="22"/>
        </w:rPr>
        <w:t xml:space="preserve"> </w:t>
      </w:r>
      <w:proofErr w:type="gramStart"/>
      <w:r w:rsidRPr="000F573C">
        <w:rPr>
          <w:rFonts w:cs="Times New Roman"/>
          <w:sz w:val="22"/>
          <w:szCs w:val="22"/>
        </w:rPr>
        <w:t>р</w:t>
      </w:r>
      <w:proofErr w:type="gramEnd"/>
      <w:r w:rsidRPr="000F573C">
        <w:rPr>
          <w:rFonts w:cs="Times New Roman"/>
          <w:sz w:val="22"/>
          <w:szCs w:val="22"/>
        </w:rPr>
        <w:t xml:space="preserve">/н, ул. </w:t>
      </w:r>
      <w:proofErr w:type="spellStart"/>
      <w:r w:rsidRPr="000F573C">
        <w:rPr>
          <w:rFonts w:cs="Times New Roman"/>
          <w:sz w:val="22"/>
          <w:szCs w:val="22"/>
        </w:rPr>
        <w:t>Желтоксан</w:t>
      </w:r>
      <w:proofErr w:type="spellEnd"/>
      <w:r w:rsidRPr="000F573C">
        <w:rPr>
          <w:rFonts w:cs="Times New Roman"/>
          <w:sz w:val="22"/>
          <w:szCs w:val="22"/>
        </w:rPr>
        <w:t xml:space="preserve">, 51, кабинет 201, дата </w:t>
      </w:r>
      <w:r w:rsidR="00E11270" w:rsidRPr="000F573C">
        <w:rPr>
          <w:rFonts w:cs="Times New Roman"/>
          <w:sz w:val="22"/>
          <w:szCs w:val="22"/>
          <w:lang w:val="kk-KZ"/>
        </w:rPr>
        <w:t>01</w:t>
      </w:r>
      <w:r w:rsidRPr="000F573C">
        <w:rPr>
          <w:rFonts w:cs="Times New Roman"/>
          <w:sz w:val="22"/>
          <w:szCs w:val="22"/>
        </w:rPr>
        <w:t>.</w:t>
      </w:r>
      <w:r w:rsidR="003556EC" w:rsidRPr="000F573C">
        <w:rPr>
          <w:rFonts w:cs="Times New Roman"/>
          <w:sz w:val="22"/>
          <w:szCs w:val="22"/>
        </w:rPr>
        <w:t>0</w:t>
      </w:r>
      <w:r w:rsidR="00E11270" w:rsidRPr="000F573C">
        <w:rPr>
          <w:rFonts w:cs="Times New Roman"/>
          <w:sz w:val="22"/>
          <w:szCs w:val="22"/>
          <w:lang w:val="kk-KZ"/>
        </w:rPr>
        <w:t>2</w:t>
      </w:r>
      <w:r w:rsidRPr="000F573C">
        <w:rPr>
          <w:rFonts w:cs="Times New Roman"/>
          <w:sz w:val="22"/>
          <w:szCs w:val="22"/>
        </w:rPr>
        <w:t>.201</w:t>
      </w:r>
      <w:r w:rsidR="003556EC" w:rsidRPr="000F573C">
        <w:rPr>
          <w:rFonts w:cs="Times New Roman"/>
          <w:sz w:val="22"/>
          <w:szCs w:val="22"/>
        </w:rPr>
        <w:t>9</w:t>
      </w:r>
      <w:r w:rsidRPr="000F573C">
        <w:rPr>
          <w:rFonts w:cs="Times New Roman"/>
          <w:sz w:val="22"/>
          <w:szCs w:val="22"/>
        </w:rPr>
        <w:t>г. время: 09:00 часов.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E11270" w:rsidRPr="000F573C">
        <w:rPr>
          <w:rFonts w:cs="Times New Roman"/>
          <w:sz w:val="22"/>
          <w:szCs w:val="22"/>
          <w:lang w:val="kk-KZ"/>
        </w:rPr>
        <w:t>01</w:t>
      </w:r>
      <w:r w:rsidRPr="000F573C">
        <w:rPr>
          <w:rFonts w:cs="Times New Roman"/>
          <w:sz w:val="22"/>
          <w:szCs w:val="22"/>
        </w:rPr>
        <w:t>.</w:t>
      </w:r>
      <w:r w:rsidR="00E11270" w:rsidRPr="000F573C">
        <w:rPr>
          <w:rFonts w:cs="Times New Roman"/>
          <w:sz w:val="22"/>
          <w:szCs w:val="22"/>
          <w:lang w:val="kk-KZ"/>
        </w:rPr>
        <w:t>02</w:t>
      </w:r>
      <w:r w:rsidRPr="000F573C">
        <w:rPr>
          <w:rFonts w:cs="Times New Roman"/>
          <w:sz w:val="22"/>
          <w:szCs w:val="22"/>
        </w:rPr>
        <w:t>.201</w:t>
      </w:r>
      <w:r w:rsidR="003556EC" w:rsidRPr="000F573C">
        <w:rPr>
          <w:rFonts w:cs="Times New Roman"/>
          <w:sz w:val="22"/>
          <w:szCs w:val="22"/>
        </w:rPr>
        <w:t>9</w:t>
      </w:r>
      <w:r w:rsidRPr="000F573C">
        <w:rPr>
          <w:rFonts w:cs="Times New Roman"/>
          <w:sz w:val="22"/>
          <w:szCs w:val="22"/>
        </w:rPr>
        <w:t xml:space="preserve">г. время 10:00 часов, место вскрытия: г. Алматы, </w:t>
      </w:r>
      <w:proofErr w:type="spellStart"/>
      <w:r w:rsidRPr="000F573C">
        <w:rPr>
          <w:rFonts w:cs="Times New Roman"/>
          <w:sz w:val="22"/>
          <w:szCs w:val="22"/>
        </w:rPr>
        <w:t>Алмалинский</w:t>
      </w:r>
      <w:proofErr w:type="spellEnd"/>
      <w:r w:rsidR="00562323" w:rsidRPr="000F573C">
        <w:rPr>
          <w:rFonts w:cs="Times New Roman"/>
          <w:sz w:val="22"/>
          <w:szCs w:val="22"/>
        </w:rPr>
        <w:t xml:space="preserve"> </w:t>
      </w:r>
      <w:proofErr w:type="gramStart"/>
      <w:r w:rsidRPr="000F573C">
        <w:rPr>
          <w:rFonts w:cs="Times New Roman"/>
          <w:sz w:val="22"/>
          <w:szCs w:val="22"/>
        </w:rPr>
        <w:t>р</w:t>
      </w:r>
      <w:proofErr w:type="gramEnd"/>
      <w:r w:rsidRPr="000F573C">
        <w:rPr>
          <w:rFonts w:cs="Times New Roman"/>
          <w:sz w:val="22"/>
          <w:szCs w:val="22"/>
        </w:rPr>
        <w:t xml:space="preserve">/н, ул. </w:t>
      </w:r>
      <w:proofErr w:type="spellStart"/>
      <w:r w:rsidRPr="000F573C">
        <w:rPr>
          <w:rFonts w:cs="Times New Roman"/>
          <w:sz w:val="22"/>
          <w:szCs w:val="22"/>
        </w:rPr>
        <w:t>Желтоксан</w:t>
      </w:r>
      <w:proofErr w:type="spellEnd"/>
      <w:r w:rsidRPr="000F573C">
        <w:rPr>
          <w:rFonts w:cs="Times New Roman"/>
          <w:sz w:val="22"/>
          <w:szCs w:val="22"/>
        </w:rPr>
        <w:t>, 51, кабинет 201.</w:t>
      </w:r>
    </w:p>
    <w:p w:rsidR="0080080F" w:rsidRPr="000F573C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0F573C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573C">
        <w:rPr>
          <w:rFonts w:cs="Times New Roman"/>
          <w:b/>
          <w:sz w:val="22"/>
          <w:szCs w:val="22"/>
        </w:rPr>
        <w:t>пки, наименование Поставщика и З</w:t>
      </w:r>
      <w:r w:rsidRPr="000F573C">
        <w:rPr>
          <w:rFonts w:cs="Times New Roman"/>
          <w:b/>
          <w:sz w:val="22"/>
          <w:szCs w:val="22"/>
        </w:rPr>
        <w:t>аказчика.</w:t>
      </w:r>
    </w:p>
    <w:p w:rsidR="0080080F" w:rsidRPr="000F573C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0F573C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0F573C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0F573C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0F573C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0F573C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SUB10900"/>
      <w:bookmarkEnd w:id="0"/>
      <w:r w:rsidRPr="000F573C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0F573C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0F573C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0F573C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0F573C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0F573C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0F573C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0F573C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F573C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0F573C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0F573C">
        <w:rPr>
          <w:rStyle w:val="s0"/>
          <w:sz w:val="22"/>
          <w:szCs w:val="22"/>
        </w:rPr>
        <w:t xml:space="preserve"> настоящих Правил;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0F573C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0F573C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0F573C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0F573C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0F573C" w:rsidRDefault="0080080F" w:rsidP="00AF5191">
      <w:pPr>
        <w:jc w:val="both"/>
        <w:rPr>
          <w:rFonts w:cs="Times New Roman"/>
          <w:sz w:val="22"/>
          <w:szCs w:val="22"/>
        </w:rPr>
      </w:pPr>
      <w:r w:rsidRPr="000F573C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0F573C" w:rsidRDefault="000F573C" w:rsidP="00AF5191">
      <w:pPr>
        <w:jc w:val="both"/>
        <w:rPr>
          <w:rFonts w:cs="Times New Roman"/>
          <w:sz w:val="22"/>
          <w:szCs w:val="22"/>
        </w:rPr>
      </w:pPr>
      <w:bookmarkStart w:id="2" w:name="_GoBack"/>
      <w:bookmarkEnd w:id="2"/>
    </w:p>
    <w:p w:rsidR="0080080F" w:rsidRPr="000F573C" w:rsidRDefault="0080080F" w:rsidP="00AF5191">
      <w:pPr>
        <w:rPr>
          <w:rFonts w:cs="Times New Roman"/>
          <w:sz w:val="22"/>
          <w:szCs w:val="22"/>
        </w:rPr>
      </w:pPr>
    </w:p>
    <w:p w:rsidR="0080080F" w:rsidRPr="000F573C" w:rsidRDefault="0080080F" w:rsidP="00AF5191">
      <w:pPr>
        <w:rPr>
          <w:rFonts w:cs="Times New Roman"/>
          <w:b/>
          <w:sz w:val="22"/>
          <w:szCs w:val="22"/>
        </w:rPr>
      </w:pPr>
      <w:r w:rsidRPr="000F573C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0F573C">
        <w:rPr>
          <w:rFonts w:cs="Times New Roman"/>
          <w:b/>
          <w:sz w:val="22"/>
          <w:szCs w:val="22"/>
        </w:rPr>
        <w:tab/>
      </w:r>
      <w:r w:rsidRPr="000F573C">
        <w:rPr>
          <w:rFonts w:cs="Times New Roman"/>
          <w:b/>
          <w:sz w:val="22"/>
          <w:szCs w:val="22"/>
        </w:rPr>
        <w:tab/>
      </w:r>
      <w:r w:rsidRPr="000F573C">
        <w:rPr>
          <w:rFonts w:cs="Times New Roman"/>
          <w:b/>
          <w:sz w:val="22"/>
          <w:szCs w:val="22"/>
        </w:rPr>
        <w:tab/>
      </w:r>
      <w:r w:rsidRPr="000F573C">
        <w:rPr>
          <w:rFonts w:cs="Times New Roman"/>
          <w:b/>
          <w:sz w:val="22"/>
          <w:szCs w:val="22"/>
        </w:rPr>
        <w:tab/>
      </w:r>
      <w:r w:rsidRPr="000F573C">
        <w:rPr>
          <w:rFonts w:cs="Times New Roman"/>
          <w:b/>
          <w:sz w:val="22"/>
          <w:szCs w:val="22"/>
        </w:rPr>
        <w:tab/>
      </w:r>
      <w:proofErr w:type="spellStart"/>
      <w:r w:rsidRPr="000F573C">
        <w:rPr>
          <w:rFonts w:cs="Times New Roman"/>
          <w:b/>
          <w:sz w:val="22"/>
          <w:szCs w:val="22"/>
        </w:rPr>
        <w:t>Мукажанова</w:t>
      </w:r>
      <w:proofErr w:type="spellEnd"/>
      <w:r w:rsidRPr="000F573C">
        <w:rPr>
          <w:rFonts w:cs="Times New Roman"/>
          <w:b/>
          <w:sz w:val="22"/>
          <w:szCs w:val="22"/>
        </w:rPr>
        <w:t xml:space="preserve"> Н.М.</w:t>
      </w:r>
    </w:p>
    <w:p w:rsidR="0080080F" w:rsidRPr="000F573C" w:rsidRDefault="0080080F" w:rsidP="00653A61">
      <w:pPr>
        <w:rPr>
          <w:rFonts w:cs="Times New Roman"/>
          <w:sz w:val="22"/>
          <w:szCs w:val="22"/>
        </w:rPr>
      </w:pPr>
    </w:p>
    <w:p w:rsidR="001811AD" w:rsidRPr="000F573C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0F573C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0F573C" w:rsidRDefault="001811AD" w:rsidP="00AF5191">
      <w:pPr>
        <w:rPr>
          <w:rFonts w:cs="Times New Roman"/>
          <w:sz w:val="18"/>
          <w:szCs w:val="18"/>
        </w:rPr>
      </w:pPr>
      <w:r w:rsidRPr="000F573C">
        <w:rPr>
          <w:rFonts w:cs="Times New Roman"/>
          <w:i/>
          <w:sz w:val="18"/>
          <w:szCs w:val="18"/>
        </w:rPr>
        <w:t>Исп</w:t>
      </w:r>
      <w:r w:rsidR="003469CF" w:rsidRPr="000F573C">
        <w:rPr>
          <w:rFonts w:cs="Times New Roman"/>
          <w:i/>
          <w:sz w:val="18"/>
          <w:szCs w:val="18"/>
        </w:rPr>
        <w:t>.</w:t>
      </w:r>
      <w:r w:rsidRPr="000F573C">
        <w:rPr>
          <w:rFonts w:cs="Times New Roman"/>
          <w:i/>
          <w:sz w:val="18"/>
          <w:szCs w:val="18"/>
        </w:rPr>
        <w:t xml:space="preserve">  </w:t>
      </w:r>
      <w:proofErr w:type="spellStart"/>
      <w:r w:rsidRPr="000F573C">
        <w:rPr>
          <w:rFonts w:cs="Times New Roman"/>
          <w:i/>
          <w:sz w:val="18"/>
          <w:szCs w:val="18"/>
        </w:rPr>
        <w:t>Кожахметова</w:t>
      </w:r>
      <w:proofErr w:type="spellEnd"/>
      <w:r w:rsidRPr="000F573C">
        <w:rPr>
          <w:rFonts w:cs="Times New Roman"/>
          <w:i/>
          <w:sz w:val="18"/>
          <w:szCs w:val="18"/>
        </w:rPr>
        <w:t xml:space="preserve">  Г.Ж</w:t>
      </w:r>
      <w:r w:rsidRPr="000F573C">
        <w:rPr>
          <w:rFonts w:cs="Times New Roman"/>
          <w:sz w:val="18"/>
          <w:szCs w:val="18"/>
        </w:rPr>
        <w:t>.</w:t>
      </w:r>
      <w:r w:rsidR="0080080F" w:rsidRPr="000F573C">
        <w:rPr>
          <w:rFonts w:cs="Times New Roman"/>
          <w:sz w:val="18"/>
          <w:szCs w:val="18"/>
        </w:rPr>
        <w:tab/>
      </w:r>
    </w:p>
    <w:p w:rsidR="0086053E" w:rsidRPr="000F573C" w:rsidRDefault="0080080F">
      <w:pPr>
        <w:rPr>
          <w:rFonts w:cs="Times New Roman"/>
          <w:sz w:val="18"/>
          <w:szCs w:val="18"/>
          <w:lang w:val="kk-KZ"/>
        </w:rPr>
      </w:pPr>
      <w:r w:rsidRPr="000F573C">
        <w:rPr>
          <w:rFonts w:cs="Times New Roman"/>
          <w:i/>
          <w:sz w:val="18"/>
          <w:szCs w:val="18"/>
        </w:rPr>
        <w:t>8-727-278-04-44</w:t>
      </w:r>
    </w:p>
    <w:sectPr w:rsidR="0086053E" w:rsidRPr="000F573C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0F573C"/>
    <w:rsid w:val="00172BC0"/>
    <w:rsid w:val="001811AD"/>
    <w:rsid w:val="003249AB"/>
    <w:rsid w:val="003469CF"/>
    <w:rsid w:val="003556EC"/>
    <w:rsid w:val="00562323"/>
    <w:rsid w:val="00653A61"/>
    <w:rsid w:val="00666AAF"/>
    <w:rsid w:val="006B7388"/>
    <w:rsid w:val="007D6ED1"/>
    <w:rsid w:val="007D726A"/>
    <w:rsid w:val="0080080F"/>
    <w:rsid w:val="0086053E"/>
    <w:rsid w:val="009B6D94"/>
    <w:rsid w:val="00A10B87"/>
    <w:rsid w:val="00A144EC"/>
    <w:rsid w:val="00A4250E"/>
    <w:rsid w:val="00AA1CC0"/>
    <w:rsid w:val="00AF5191"/>
    <w:rsid w:val="00B85056"/>
    <w:rsid w:val="00C54F8E"/>
    <w:rsid w:val="00C9554B"/>
    <w:rsid w:val="00CD1C30"/>
    <w:rsid w:val="00D041CB"/>
    <w:rsid w:val="00D1690C"/>
    <w:rsid w:val="00DC56C3"/>
    <w:rsid w:val="00E11270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</cp:revision>
  <cp:lastPrinted>2019-01-28T03:20:00Z</cp:lastPrinted>
  <dcterms:created xsi:type="dcterms:W3CDTF">2019-01-15T05:22:00Z</dcterms:created>
  <dcterms:modified xsi:type="dcterms:W3CDTF">2019-01-28T03:21:00Z</dcterms:modified>
</cp:coreProperties>
</file>