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21332E">
        <w:rPr>
          <w:rFonts w:cs="Times New Roman"/>
          <w:sz w:val="22"/>
          <w:szCs w:val="22"/>
          <w:lang w:val="kk-KZ"/>
        </w:rPr>
        <w:t>14</w:t>
      </w:r>
      <w:r w:rsidRPr="00762AF4">
        <w:rPr>
          <w:rFonts w:cs="Times New Roman"/>
          <w:sz w:val="22"/>
          <w:szCs w:val="22"/>
        </w:rPr>
        <w:t xml:space="preserve">» </w:t>
      </w:r>
      <w:r w:rsidR="00D9500F">
        <w:rPr>
          <w:rFonts w:cs="Times New Roman"/>
          <w:sz w:val="22"/>
          <w:szCs w:val="22"/>
          <w:lang w:val="kk-KZ"/>
        </w:rPr>
        <w:t>февраля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978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3403"/>
        <w:gridCol w:w="1843"/>
        <w:gridCol w:w="874"/>
        <w:gridCol w:w="1200"/>
        <w:gridCol w:w="1259"/>
        <w:gridCol w:w="1516"/>
      </w:tblGrid>
      <w:tr w:rsidR="0021332E" w:rsidRPr="00D5491D" w:rsidTr="0021332E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1D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21332E" w:rsidRPr="00D5491D" w:rsidRDefault="0021332E" w:rsidP="002133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1D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1D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1D">
              <w:rPr>
                <w:rFonts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1D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1D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1D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1D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21332E" w:rsidRPr="00D5491D" w:rsidTr="0021332E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5491D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D5491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</w:rPr>
              <w:t>Гематокрит (HCT), Гемоглобин (HGB), Диапазон распределения эритроцитов по объему (RDW), Лейкоциты (WBC), Среднее содержание гемоглобина в эритроците (MCH), Средний объем тромбоцита (MPV), Средний объем эритроцита (MCV), Средняя концентрация гемоглобина в эритроците (MCHC), Стандартное отклонение диапазона распределения эритроцитов по объему (RDW-SD), Тромбоциты (PLT), Эритроциты (RBC)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2E" w:rsidRPr="00D5491D" w:rsidRDefault="0021332E" w:rsidP="00D549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5491D">
              <w:rPr>
                <w:rFonts w:cs="Times New Roman"/>
                <w:color w:val="000000"/>
                <w:sz w:val="20"/>
                <w:szCs w:val="20"/>
              </w:rPr>
              <w:t xml:space="preserve">Программа гематология 3 </w:t>
            </w:r>
            <w:proofErr w:type="spellStart"/>
            <w:r w:rsidRPr="00D5491D">
              <w:rPr>
                <w:rFonts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5491D">
              <w:rPr>
                <w:rFonts w:cs="Times New Roman"/>
                <w:color w:val="000000"/>
                <w:sz w:val="20"/>
                <w:szCs w:val="20"/>
              </w:rPr>
              <w:t>,  BC90A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>135612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>135612</w:t>
            </w:r>
          </w:p>
        </w:tc>
      </w:tr>
      <w:tr w:rsidR="0021332E" w:rsidRPr="00D5491D" w:rsidTr="0021332E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5491D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D54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>Гематокрит (HCT), Гемоглобин (HGB), Диапазон распределения эритроцитов по объему (RDW), Лейкоциты (WBC), Среднее содержание гемоглобина в эритроците (MCH), Средний объем тромбоцита (MPV), Средний объем эритроцита (MCV), Средняя концентрация гемоглобина в эритроците (MCHC), Стандартное отклонение диапазона распределения эритроцитов по объему (RDW-SD), Тромбоциты (PLT), Эритроциты (RBC)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2E" w:rsidRPr="00D5491D" w:rsidRDefault="0021332E" w:rsidP="00D549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 xml:space="preserve">Программа гематология3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фл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>, BC90B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>151852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>151852</w:t>
            </w:r>
          </w:p>
        </w:tc>
      </w:tr>
      <w:tr w:rsidR="0021332E" w:rsidRPr="00D5491D" w:rsidTr="0021332E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5491D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 xml:space="preserve">Гематокрит (HCT), Гемоглобин (HGB), Диапазон распределения эритроцитов по объему (RDW), Лейкоциты (WBC), Среднее содержание гемоглобина в эритроците (MCH), Средний объем </w:t>
            </w:r>
            <w:r w:rsidRPr="00D5491D">
              <w:rPr>
                <w:rFonts w:cs="Times New Roman"/>
                <w:sz w:val="20"/>
                <w:szCs w:val="20"/>
              </w:rPr>
              <w:lastRenderedPageBreak/>
              <w:t>тромбоцита (MPV), Средний объем эритроцита (MCV), Средняя концентрация гемоглобина в эритроците (MCHC), Стандартное отклонение диапазона распределения эритроцитов по объему (RDW-SD), Тромбоциты (PLT), Эритроциты (RBC)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2E" w:rsidRPr="00D5491D" w:rsidRDefault="0021332E">
            <w:pPr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lastRenderedPageBreak/>
              <w:t xml:space="preserve">Программа гематология 3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фл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>,  BC90C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98071B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98071B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98071B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144901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98071B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144901</w:t>
            </w:r>
          </w:p>
        </w:tc>
      </w:tr>
      <w:tr w:rsidR="0021332E" w:rsidRPr="00D5491D" w:rsidTr="0021332E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5491D">
              <w:rPr>
                <w:rFonts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>Гематокрит (HCT), Гемоглобин (HGB), Диапазон распределения эритроцитов по объему (RDW), Лейкоциты (WBC), Среднее содержание гемоглобина в эритроците (MCH), Средний объем тромбоцита (MPV), Средний объем эритроцита (MCV), Средняя концентрация гемоглобина в эритроците (MCHC), Стандартное отклонение диапазона распределения эритроцитов по объему (RDW-SD), Тромбоциты (PLT), Эритроциты (RBC)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1332E" w:rsidRPr="00D5491D" w:rsidRDefault="0021332E">
            <w:pPr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 xml:space="preserve">Программа гематология3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фл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>, BC90D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98071B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98071B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98071B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150385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98071B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150385</w:t>
            </w:r>
          </w:p>
        </w:tc>
      </w:tr>
      <w:tr w:rsidR="0021332E" w:rsidRPr="00D5491D" w:rsidTr="0021332E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5491D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5491D">
              <w:rPr>
                <w:rFonts w:cs="Times New Roman"/>
                <w:sz w:val="20"/>
                <w:szCs w:val="20"/>
              </w:rPr>
              <w:t xml:space="preserve">Азот мочевины,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Аланиновая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аминотрансфераза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(АЛТ/SGPT), Альбумин, Амилаза (общая), Амилаза (панкреатическая),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Аспартатаминотрансфераза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(АСТ/SGОТ), Белок (общий), Билирубин (общий), Билирубин (прямой),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Гаммаглутамилтрансфераза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(ГГТ), Глюкоза, Двуокись углерода (CO2), Железо,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Железосвязывающая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способность ненасыщенная (НЖСС),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Железосвязывающая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способность общая (ОЖСС), Калий, Кальций (ионизированный), Кальций (общий), Кислая фосфатаза (общая), Кортизол,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Креатинин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Креатинкиназа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(КК),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Лактат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(Молочная кислота),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Лактатдегидрогеназа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(ЛДГ), Липаза, Литий, Магний, Медь, Мочевая кислота, Мочевина, Натрий</w:t>
            </w:r>
            <w:proofErr w:type="gramEnd"/>
            <w:r w:rsidRPr="00D5491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Осмоляльность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, Тиреотропный гормон (ТТГ), Тироксин (T4) общий, Триглицериды,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Трийодтиронин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(T3) общий, Фосфат, Хлорид, Холестерин (ЛВП), Холестерин (ЛНП), Холестерин (общий), Цинк, Щелочная фосфатаза (ЩФ)</w:t>
            </w:r>
            <w:proofErr w:type="gramStart"/>
            <w:r w:rsidRPr="00D5491D">
              <w:rPr>
                <w:rFonts w:cs="Times New Roman"/>
                <w:sz w:val="20"/>
                <w:szCs w:val="20"/>
              </w:rPr>
              <w:t>,Т</w:t>
            </w:r>
            <w:proofErr w:type="gramEnd"/>
            <w:r w:rsidRPr="00D5491D">
              <w:rPr>
                <w:rFonts w:cs="Times New Roman"/>
                <w:sz w:val="20"/>
                <w:szCs w:val="20"/>
              </w:rPr>
              <w:t xml:space="preserve">ироксин, свободный (FT4),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Трийодотиронин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>, свободный (FT3)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2E" w:rsidRPr="00D5491D" w:rsidRDefault="0021332E">
            <w:pPr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 xml:space="preserve">  программа по клинической химии 12 х 5 мл,  BC50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360079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360079</w:t>
            </w:r>
          </w:p>
        </w:tc>
      </w:tr>
      <w:tr w:rsidR="0021332E" w:rsidRPr="00D5491D" w:rsidTr="0021332E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5491D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 xml:space="preserve">11-дезоксикортизол; 17 - α - ОН </w:t>
            </w:r>
            <w:proofErr w:type="gramStart"/>
            <w:r w:rsidRPr="00D5491D">
              <w:rPr>
                <w:rFonts w:cs="Times New Roman"/>
                <w:sz w:val="20"/>
                <w:szCs w:val="20"/>
              </w:rPr>
              <w:t>–п</w:t>
            </w:r>
            <w:proofErr w:type="gramEnd"/>
            <w:r w:rsidRPr="00D5491D">
              <w:rPr>
                <w:rFonts w:cs="Times New Roman"/>
                <w:sz w:val="20"/>
                <w:szCs w:val="20"/>
              </w:rPr>
              <w:t xml:space="preserve">рогестерон; 25-ОН Витамин D;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Адрено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-кортикотропный гормон (АКГГ); Альдостерон;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Альфафетопротеин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Андростендион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Ангиотензинпревращающий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фермент (АПФ); β - 2 Микроглобулин; CA 125; CA 15-3; CA 19-9; CA 27.29;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Карбамазепин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; Раковый эмбриональный антиген (РЭА); Хорионический </w:t>
            </w:r>
            <w:r w:rsidRPr="00D5491D">
              <w:rPr>
                <w:rFonts w:cs="Times New Roman"/>
                <w:sz w:val="20"/>
                <w:szCs w:val="20"/>
              </w:rPr>
              <w:lastRenderedPageBreak/>
              <w:t xml:space="preserve">гонадотропин (ХГЧ); Кортизол; С-пептид; ДГЭА – сульфат;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Эстрадиол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Эстриол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свободный;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Ферритин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Фолат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; Фолликулостимулирующий гормон (ФСГ); Тироксин (Т4) свободный;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Трийодтиронин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(Т3), свободный;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Гастрин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>; Гормон роста; Иммуноглобулин E (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lgE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); Инсулин;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Лютеинизирующий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гормон (ЛГ); Нейрон-специфическая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энолаза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(NSE); Паратиреоидный гормон,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интактный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; Активность ренина плазмы;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Фенобарбитал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Фенитоин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; Прогестерон; Пролактин;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Простатиче</w:t>
            </w:r>
            <w:proofErr w:type="gramStart"/>
            <w:r w:rsidRPr="00D5491D">
              <w:rPr>
                <w:rFonts w:cs="Times New Roman"/>
                <w:sz w:val="20"/>
                <w:szCs w:val="20"/>
              </w:rPr>
              <w:t>c</w:t>
            </w:r>
            <w:proofErr w:type="gramEnd"/>
            <w:r w:rsidRPr="00D5491D">
              <w:rPr>
                <w:rFonts w:cs="Times New Roman"/>
                <w:sz w:val="20"/>
                <w:szCs w:val="20"/>
              </w:rPr>
              <w:t>кий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специфический антиген (ПСА), свободный;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Простатичеcкий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специфический антиген (ПСА), общий; ПСА отношение свободный/общий; Ренин; S-100; Глобулин, связывающий половые гормоны; Тироксинсвязывающая способность;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Трийодтиронинсвязывающая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способность; Тиреотропный гормон (ТТГ); Тестостерон; Теофиллин; Тироксин (Т</w:t>
            </w:r>
            <w:proofErr w:type="gramStart"/>
            <w:r w:rsidRPr="00D5491D">
              <w:rPr>
                <w:rFonts w:cs="Times New Roman"/>
                <w:sz w:val="20"/>
                <w:szCs w:val="20"/>
              </w:rPr>
              <w:t>4</w:t>
            </w:r>
            <w:proofErr w:type="gramEnd"/>
            <w:r w:rsidRPr="00D5491D">
              <w:rPr>
                <w:rFonts w:cs="Times New Roman"/>
                <w:sz w:val="20"/>
                <w:szCs w:val="20"/>
              </w:rPr>
              <w:t xml:space="preserve">) общий;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Трансферрин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Трийодтиронин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(Т3), общий;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Вальпроевая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кислота; Витамин В12;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Тиреоидсвязывающий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глобулин (ТСГ)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2E" w:rsidRPr="00D5491D" w:rsidRDefault="0021332E" w:rsidP="008D52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lastRenderedPageBreak/>
              <w:t xml:space="preserve">программа по иммунохимии (51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аналит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>), 12 х 5 мл,  BC75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696581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696581</w:t>
            </w:r>
          </w:p>
        </w:tc>
      </w:tr>
      <w:tr w:rsidR="0021332E" w:rsidRPr="00D5491D" w:rsidTr="0021332E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5491D">
              <w:rPr>
                <w:rFonts w:cs="Times New Roman"/>
                <w:sz w:val="20"/>
                <w:szCs w:val="20"/>
              </w:rPr>
              <w:t>pH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, pCO2, pO2, Натрий, Калий, Хлориды, Ионизированный кальций, Магний, Глюкоза,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Лактат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(молочная к-та)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2E" w:rsidRPr="00D5491D" w:rsidRDefault="008D5207">
            <w:pPr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 xml:space="preserve">программа газы крови </w:t>
            </w:r>
            <w:r w:rsidR="0021332E" w:rsidRPr="00D5491D">
              <w:rPr>
                <w:rFonts w:cs="Times New Roman"/>
                <w:sz w:val="20"/>
                <w:szCs w:val="20"/>
              </w:rPr>
              <w:t xml:space="preserve">(10 </w:t>
            </w:r>
            <w:proofErr w:type="spellStart"/>
            <w:r w:rsidR="0021332E" w:rsidRPr="00D5491D">
              <w:rPr>
                <w:rFonts w:cs="Times New Roman"/>
                <w:sz w:val="20"/>
                <w:szCs w:val="20"/>
              </w:rPr>
              <w:t>аналитов</w:t>
            </w:r>
            <w:proofErr w:type="spellEnd"/>
            <w:r w:rsidR="0021332E" w:rsidRPr="00D5491D">
              <w:rPr>
                <w:rFonts w:cs="Times New Roman"/>
                <w:sz w:val="20"/>
                <w:szCs w:val="20"/>
              </w:rPr>
              <w:t>), 12 х 2,5 мл, BC31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229336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229336</w:t>
            </w:r>
          </w:p>
        </w:tc>
      </w:tr>
      <w:tr w:rsidR="0021332E" w:rsidRPr="00D5491D" w:rsidTr="0021332E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 w:rsidP="0021332E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2133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 xml:space="preserve">Активированное частичное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тромбиновое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время (АЧТВ), Антитромбин III, Фибриноген, МНО,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Протромбиновое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время,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Тромбиновое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 xml:space="preserve"> время, Протеин C, Протеин 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32E" w:rsidRPr="00D5491D" w:rsidRDefault="0021332E">
            <w:pPr>
              <w:rPr>
                <w:rFonts w:cs="Times New Roman"/>
                <w:sz w:val="20"/>
                <w:szCs w:val="20"/>
              </w:rPr>
            </w:pPr>
            <w:r w:rsidRPr="00D5491D">
              <w:rPr>
                <w:rFonts w:cs="Times New Roman"/>
                <w:sz w:val="20"/>
                <w:szCs w:val="20"/>
              </w:rPr>
              <w:t xml:space="preserve">программа коагуляция  (8 </w:t>
            </w:r>
            <w:proofErr w:type="spellStart"/>
            <w:r w:rsidRPr="00D5491D">
              <w:rPr>
                <w:rFonts w:cs="Times New Roman"/>
                <w:sz w:val="20"/>
                <w:szCs w:val="20"/>
              </w:rPr>
              <w:t>аналитов</w:t>
            </w:r>
            <w:proofErr w:type="spellEnd"/>
            <w:r w:rsidRPr="00D5491D">
              <w:rPr>
                <w:rFonts w:cs="Times New Roman"/>
                <w:sz w:val="20"/>
                <w:szCs w:val="20"/>
              </w:rPr>
              <w:t>), 12 х 1 мл,  BC34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упаковкак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255056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32E" w:rsidRPr="00D5491D" w:rsidRDefault="008D5207" w:rsidP="0021332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5491D">
              <w:rPr>
                <w:rFonts w:cs="Times New Roman"/>
                <w:sz w:val="20"/>
                <w:szCs w:val="20"/>
                <w:lang w:val="kk-KZ"/>
              </w:rPr>
              <w:t>255056</w:t>
            </w:r>
          </w:p>
        </w:tc>
      </w:tr>
    </w:tbl>
    <w:p w:rsidR="0080080F" w:rsidRPr="004D03BF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</w:t>
      </w:r>
      <w:r w:rsidRPr="004D03BF">
        <w:rPr>
          <w:rFonts w:cs="Times New Roman"/>
          <w:sz w:val="22"/>
          <w:szCs w:val="22"/>
        </w:rPr>
        <w:t xml:space="preserve">сумма </w:t>
      </w:r>
      <w:r w:rsidR="00DB7630" w:rsidRPr="00DB7630">
        <w:rPr>
          <w:rFonts w:cs="Times New Roman"/>
          <w:sz w:val="22"/>
          <w:szCs w:val="22"/>
        </w:rPr>
        <w:t>2</w:t>
      </w:r>
      <w:r w:rsidR="00DB7630">
        <w:rPr>
          <w:rFonts w:cs="Times New Roman"/>
          <w:sz w:val="22"/>
          <w:szCs w:val="22"/>
          <w:lang w:val="en-US"/>
        </w:rPr>
        <w:t> </w:t>
      </w:r>
      <w:r w:rsidR="00DB7630" w:rsidRPr="00DB7630">
        <w:rPr>
          <w:rFonts w:cs="Times New Roman"/>
          <w:sz w:val="22"/>
          <w:szCs w:val="22"/>
        </w:rPr>
        <w:t>123 802</w:t>
      </w:r>
      <w:r w:rsidR="004D03BF" w:rsidRPr="004D03BF">
        <w:rPr>
          <w:rFonts w:cs="Times New Roman"/>
          <w:sz w:val="22"/>
          <w:szCs w:val="22"/>
          <w:lang w:val="kk-KZ"/>
        </w:rPr>
        <w:t>,</w:t>
      </w:r>
      <w:r w:rsidR="00D9500F" w:rsidRPr="004D03BF">
        <w:rPr>
          <w:rFonts w:cs="Times New Roman"/>
          <w:sz w:val="22"/>
          <w:szCs w:val="22"/>
        </w:rPr>
        <w:t>00</w:t>
      </w:r>
      <w:r w:rsidRPr="004D03BF">
        <w:rPr>
          <w:rFonts w:cs="Times New Roman"/>
          <w:sz w:val="22"/>
          <w:szCs w:val="22"/>
        </w:rPr>
        <w:t xml:space="preserve"> (</w:t>
      </w:r>
      <w:r w:rsidR="00DB7630">
        <w:rPr>
          <w:rFonts w:cs="Times New Roman"/>
          <w:sz w:val="22"/>
          <w:szCs w:val="22"/>
          <w:lang w:val="kk-KZ"/>
        </w:rPr>
        <w:t>два миллиона сто двадцать три тысячи восемьсот две</w:t>
      </w:r>
      <w:r w:rsidR="000D2585" w:rsidRPr="004D03BF">
        <w:rPr>
          <w:rFonts w:cs="Times New Roman"/>
          <w:sz w:val="22"/>
          <w:szCs w:val="22"/>
        </w:rPr>
        <w:t>)</w:t>
      </w:r>
      <w:r w:rsidRPr="004D03BF">
        <w:rPr>
          <w:rFonts w:cs="Times New Roman"/>
          <w:sz w:val="22"/>
          <w:szCs w:val="22"/>
        </w:rPr>
        <w:t xml:space="preserve"> тенге</w:t>
      </w:r>
      <w:r w:rsidR="004610F5" w:rsidRPr="004D03BF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21332E">
        <w:rPr>
          <w:rFonts w:cs="Times New Roman"/>
          <w:sz w:val="22"/>
          <w:szCs w:val="22"/>
          <w:lang w:val="kk-KZ"/>
        </w:rPr>
        <w:t>20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F04A5C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1332E">
        <w:rPr>
          <w:rFonts w:cs="Times New Roman"/>
          <w:sz w:val="22"/>
          <w:szCs w:val="22"/>
          <w:lang w:val="kk-KZ"/>
        </w:rPr>
        <w:t>20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F04A5C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F04A5C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Потенциальный Поставщик должен предоставить Доверенность </w:t>
      </w:r>
      <w:bookmarkStart w:id="0" w:name="_GoBack"/>
      <w:bookmarkEnd w:id="0"/>
      <w:r w:rsidRPr="00762AF4">
        <w:rPr>
          <w:rFonts w:cs="Times New Roman"/>
          <w:sz w:val="22"/>
          <w:szCs w:val="22"/>
        </w:rPr>
        <w:t>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</w:t>
      </w:r>
      <w:r w:rsidRPr="00762AF4">
        <w:rPr>
          <w:rStyle w:val="s0"/>
          <w:sz w:val="22"/>
          <w:szCs w:val="22"/>
        </w:rPr>
        <w:lastRenderedPageBreak/>
        <w:t xml:space="preserve">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А именно к потенциальным поставщикам товаров предъявляются следующие квалификационные </w:t>
      </w:r>
      <w:r w:rsidRPr="00762AF4">
        <w:rPr>
          <w:rStyle w:val="s0"/>
          <w:sz w:val="22"/>
          <w:szCs w:val="22"/>
        </w:rPr>
        <w:lastRenderedPageBreak/>
        <w:t>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D1B46"/>
    <w:rsid w:val="000D2585"/>
    <w:rsid w:val="000F573C"/>
    <w:rsid w:val="00172BC0"/>
    <w:rsid w:val="001811AD"/>
    <w:rsid w:val="001A4CE2"/>
    <w:rsid w:val="001B489C"/>
    <w:rsid w:val="00211EE7"/>
    <w:rsid w:val="0021332E"/>
    <w:rsid w:val="002B2BC2"/>
    <w:rsid w:val="003129AC"/>
    <w:rsid w:val="00324425"/>
    <w:rsid w:val="003249AB"/>
    <w:rsid w:val="003469CF"/>
    <w:rsid w:val="003556EC"/>
    <w:rsid w:val="003D3A04"/>
    <w:rsid w:val="0040414C"/>
    <w:rsid w:val="004610F5"/>
    <w:rsid w:val="004D03BF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8D5207"/>
    <w:rsid w:val="0090711C"/>
    <w:rsid w:val="0098071B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BF2D8E"/>
    <w:rsid w:val="00C54F8E"/>
    <w:rsid w:val="00C554E1"/>
    <w:rsid w:val="00C9554B"/>
    <w:rsid w:val="00CD1C30"/>
    <w:rsid w:val="00D02C77"/>
    <w:rsid w:val="00D041CB"/>
    <w:rsid w:val="00D076A3"/>
    <w:rsid w:val="00D1690C"/>
    <w:rsid w:val="00D5491D"/>
    <w:rsid w:val="00D9500F"/>
    <w:rsid w:val="00DA785A"/>
    <w:rsid w:val="00DB7630"/>
    <w:rsid w:val="00DC56C3"/>
    <w:rsid w:val="00E11270"/>
    <w:rsid w:val="00E9429A"/>
    <w:rsid w:val="00E95BC4"/>
    <w:rsid w:val="00EB4EF3"/>
    <w:rsid w:val="00F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46</cp:revision>
  <cp:lastPrinted>2019-02-14T04:08:00Z</cp:lastPrinted>
  <dcterms:created xsi:type="dcterms:W3CDTF">2019-01-15T05:22:00Z</dcterms:created>
  <dcterms:modified xsi:type="dcterms:W3CDTF">2019-02-14T04:09:00Z</dcterms:modified>
</cp:coreProperties>
</file>