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7E2EA7">
        <w:rPr>
          <w:rFonts w:cs="Times New Roman"/>
          <w:sz w:val="21"/>
          <w:szCs w:val="21"/>
          <w:lang w:val="en-US"/>
        </w:rPr>
        <w:t>22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7E2EA7">
        <w:rPr>
          <w:rFonts w:cs="Times New Roman"/>
          <w:sz w:val="21"/>
          <w:szCs w:val="21"/>
          <w:lang w:val="kk-KZ"/>
        </w:rPr>
        <w:t>августа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CE3657" w:rsidRPr="00CE3657" w:rsidRDefault="00CE3657" w:rsidP="00CE3657">
      <w:pPr>
        <w:ind w:firstLine="708"/>
        <w:jc w:val="both"/>
        <w:rPr>
          <w:rStyle w:val="s1"/>
          <w:b w:val="0"/>
        </w:rPr>
      </w:pPr>
      <w:proofErr w:type="gramStart"/>
      <w:r w:rsidRPr="00CE36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E3657">
        <w:rPr>
          <w:rFonts w:cs="Times New Roman"/>
          <w:sz w:val="22"/>
          <w:szCs w:val="22"/>
        </w:rPr>
        <w:t>Сызганова</w:t>
      </w:r>
      <w:proofErr w:type="spellEnd"/>
      <w:r w:rsidRPr="00CE3657">
        <w:rPr>
          <w:rFonts w:cs="Times New Roman"/>
          <w:sz w:val="22"/>
          <w:szCs w:val="22"/>
        </w:rPr>
        <w:t xml:space="preserve">» в соответствии с </w:t>
      </w:r>
      <w:r w:rsidRPr="00CE36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</w:t>
      </w:r>
      <w:bookmarkStart w:id="0" w:name="_GoBack"/>
      <w:bookmarkEnd w:id="0"/>
      <w:r w:rsidRPr="00CE3657">
        <w:rPr>
          <w:rStyle w:val="s1"/>
          <w:b w:val="0"/>
          <w:sz w:val="22"/>
          <w:szCs w:val="22"/>
        </w:rPr>
        <w:t>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E3657">
        <w:rPr>
          <w:rStyle w:val="s1"/>
          <w:b w:val="0"/>
          <w:sz w:val="22"/>
          <w:szCs w:val="22"/>
        </w:rPr>
        <w:t xml:space="preserve"> (</w:t>
      </w:r>
      <w:proofErr w:type="gramStart"/>
      <w:r w:rsidRPr="00CE36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E3657" w:rsidRPr="00CE3657" w:rsidRDefault="00CE3657" w:rsidP="00CE3657">
      <w:pPr>
        <w:pStyle w:val="a3"/>
        <w:jc w:val="both"/>
        <w:rPr>
          <w:rFonts w:ascii="Times New Roman" w:hAnsi="Times New Roman"/>
        </w:rPr>
      </w:pPr>
      <w:r w:rsidRPr="00CE3657">
        <w:rPr>
          <w:rFonts w:ascii="Times New Roman" w:hAnsi="Times New Roman"/>
          <w:b/>
        </w:rPr>
        <w:t xml:space="preserve">Организатор </w:t>
      </w:r>
      <w:r w:rsidRPr="00CE36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CE3657">
        <w:rPr>
          <w:rFonts w:ascii="Times New Roman" w:hAnsi="Times New Roman"/>
        </w:rPr>
        <w:t>Сызганова</w:t>
      </w:r>
      <w:proofErr w:type="spellEnd"/>
      <w:r w:rsidRPr="00CE3657">
        <w:rPr>
          <w:rFonts w:ascii="Times New Roman" w:hAnsi="Times New Roman"/>
        </w:rPr>
        <w:t>»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CE36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E3657" w:rsidRPr="00CE3657" w:rsidRDefault="00CE3657" w:rsidP="00CE365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CE36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CE36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CE36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CE365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E3657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CE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Pr="007E2EA7" w:rsidRDefault="007E2EA7">
            <w:pPr>
              <w:rPr>
                <w:sz w:val="20"/>
                <w:szCs w:val="20"/>
              </w:rPr>
            </w:pPr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Игла для </w:t>
            </w:r>
            <w:proofErr w:type="spellStart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транссептальной</w:t>
            </w:r>
            <w:proofErr w:type="spellEnd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пункции, длина 71, 89, 98 см, размер 18 </w:t>
            </w:r>
            <w:proofErr w:type="spellStart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ga</w:t>
            </w:r>
            <w:proofErr w:type="spellEnd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взрослый, угол среза 50 градусов, маркер на чехле иглы для определения направления изгиба, проксимальный размер стилета 0.7 мм, дистальный размер стилета 0.35 мм. Изгиб BRK, BRK1, BRK2.  В комплект входит </w:t>
            </w:r>
            <w:proofErr w:type="spellStart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транссептальная</w:t>
            </w:r>
            <w:proofErr w:type="spellEnd"/>
            <w:r w:rsidRPr="007E2E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игла из нержавеющей стали и стилет.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Pr="007E2EA7" w:rsidRDefault="007E2E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Pr="007E2EA7" w:rsidRDefault="007E2EA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7E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125 000</w:t>
            </w:r>
            <w:r w:rsidR="00CE365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657" w:rsidRDefault="007E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2 500 000</w:t>
            </w:r>
            <w:r w:rsidR="00CE3657">
              <w:rPr>
                <w:sz w:val="20"/>
                <w:szCs w:val="20"/>
              </w:rPr>
              <w:t xml:space="preserve">   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7E2EA7">
        <w:rPr>
          <w:rFonts w:cs="Times New Roman"/>
          <w:sz w:val="21"/>
          <w:szCs w:val="21"/>
          <w:lang w:val="kk-KZ"/>
        </w:rPr>
        <w:t>2 500 000</w:t>
      </w:r>
      <w:r w:rsidR="00613267"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 w:rsidR="007E2EA7">
        <w:rPr>
          <w:rFonts w:cs="Times New Roman"/>
          <w:sz w:val="21"/>
          <w:szCs w:val="21"/>
          <w:lang w:val="kk-KZ"/>
        </w:rPr>
        <w:t>два миллиона пять тысяч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 xml:space="preserve">аказчика. Срок поставки товара </w:t>
      </w:r>
      <w:r w:rsidR="007E2EA7">
        <w:rPr>
          <w:rFonts w:cs="Times New Roman"/>
          <w:sz w:val="21"/>
          <w:szCs w:val="21"/>
          <w:lang w:val="kk-KZ"/>
        </w:rPr>
        <w:t>3</w:t>
      </w:r>
      <w:r w:rsidR="008A6BD2" w:rsidRPr="008042AA">
        <w:rPr>
          <w:rFonts w:cs="Times New Roman"/>
          <w:sz w:val="21"/>
          <w:szCs w:val="21"/>
        </w:rPr>
        <w:t>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7E2EA7">
        <w:rPr>
          <w:rFonts w:cs="Times New Roman"/>
          <w:sz w:val="21"/>
          <w:szCs w:val="21"/>
          <w:lang w:val="kk-KZ"/>
        </w:rPr>
        <w:t>27</w:t>
      </w:r>
      <w:r w:rsidR="00933F42" w:rsidRPr="008042AA">
        <w:rPr>
          <w:rFonts w:cs="Times New Roman"/>
          <w:sz w:val="21"/>
          <w:szCs w:val="21"/>
        </w:rPr>
        <w:t>.</w:t>
      </w:r>
      <w:r w:rsidR="007E2EA7">
        <w:rPr>
          <w:rFonts w:cs="Times New Roman"/>
          <w:sz w:val="21"/>
          <w:szCs w:val="21"/>
          <w:lang w:val="kk-KZ"/>
        </w:rPr>
        <w:t>08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933F42" w:rsidRPr="008042AA">
        <w:rPr>
          <w:rFonts w:cs="Times New Roman"/>
          <w:sz w:val="21"/>
          <w:szCs w:val="21"/>
        </w:rPr>
        <w:t>0</w:t>
      </w:r>
      <w:r w:rsidR="00CE3657">
        <w:rPr>
          <w:rFonts w:cs="Times New Roman"/>
          <w:sz w:val="21"/>
          <w:szCs w:val="21"/>
        </w:rPr>
        <w:t>9:3</w:t>
      </w:r>
      <w:r w:rsidRPr="008042AA">
        <w:rPr>
          <w:rFonts w:cs="Times New Roman"/>
          <w:sz w:val="21"/>
          <w:szCs w:val="21"/>
        </w:rPr>
        <w:t>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7E2EA7">
        <w:rPr>
          <w:rFonts w:cs="Times New Roman"/>
          <w:sz w:val="21"/>
          <w:szCs w:val="21"/>
          <w:lang w:val="kk-KZ"/>
        </w:rPr>
        <w:t>27</w:t>
      </w:r>
      <w:r w:rsidR="00933F42" w:rsidRPr="008042AA">
        <w:rPr>
          <w:rFonts w:cs="Times New Roman"/>
          <w:sz w:val="21"/>
          <w:szCs w:val="21"/>
        </w:rPr>
        <w:t>.</w:t>
      </w:r>
      <w:r w:rsidR="007E2EA7">
        <w:rPr>
          <w:rFonts w:cs="Times New Roman"/>
          <w:sz w:val="21"/>
          <w:szCs w:val="21"/>
          <w:lang w:val="kk-KZ"/>
        </w:rPr>
        <w:t>08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CE3657">
        <w:rPr>
          <w:rFonts w:cs="Times New Roman"/>
          <w:sz w:val="21"/>
          <w:szCs w:val="21"/>
        </w:rPr>
        <w:t>10:3</w:t>
      </w:r>
      <w:r w:rsidRPr="008042A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E3657" w:rsidRDefault="00CE3657" w:rsidP="00CE365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E3657" w:rsidRDefault="00CE3657" w:rsidP="00CE365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>
        <w:rPr>
          <w:rStyle w:val="s0"/>
          <w:sz w:val="22"/>
          <w:szCs w:val="22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E3657" w:rsidRDefault="00CE3657" w:rsidP="00CE365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7E2EA7" w:rsidRDefault="007E2EA7" w:rsidP="00CC1BB3">
      <w:pPr>
        <w:pStyle w:val="Standard"/>
        <w:rPr>
          <w:rFonts w:cs="Times New Roman"/>
          <w:i/>
          <w:sz w:val="16"/>
          <w:szCs w:val="16"/>
          <w:lang w:val="kk-KZ"/>
        </w:rPr>
      </w:pPr>
    </w:p>
    <w:p w:rsidR="00CC1BB3" w:rsidRPr="007E2EA7" w:rsidRDefault="00CC1BB3" w:rsidP="00CC1BB3">
      <w:pPr>
        <w:pStyle w:val="Standard"/>
        <w:rPr>
          <w:rFonts w:cs="Times New Roman"/>
          <w:i/>
          <w:sz w:val="16"/>
          <w:szCs w:val="16"/>
          <w:lang w:val="kk-KZ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r w:rsidR="007E2EA7">
        <w:rPr>
          <w:rFonts w:cs="Times New Roman"/>
          <w:i/>
          <w:sz w:val="16"/>
          <w:szCs w:val="16"/>
          <w:lang w:val="kk-KZ"/>
        </w:rPr>
        <w:t>Кожахметова Г.Ж.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7E2EA7"/>
    <w:rsid w:val="008042AA"/>
    <w:rsid w:val="008A6BD2"/>
    <w:rsid w:val="008E3A49"/>
    <w:rsid w:val="008F0D91"/>
    <w:rsid w:val="00927A20"/>
    <w:rsid w:val="00933F42"/>
    <w:rsid w:val="00AB13CE"/>
    <w:rsid w:val="00AC36CC"/>
    <w:rsid w:val="00BA4000"/>
    <w:rsid w:val="00CC1BB3"/>
    <w:rsid w:val="00CE3657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2018-08-22T05:55:00Z</cp:lastPrinted>
  <dcterms:created xsi:type="dcterms:W3CDTF">2018-08-22T05:55:00Z</dcterms:created>
  <dcterms:modified xsi:type="dcterms:W3CDTF">2018-08-22T05:55:00Z</dcterms:modified>
</cp:coreProperties>
</file>