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753E">
        <w:rPr>
          <w:rFonts w:cs="Times New Roman"/>
          <w:sz w:val="22"/>
          <w:szCs w:val="22"/>
          <w:lang w:val="kk-KZ"/>
        </w:rPr>
        <w:t>16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435"/>
        <w:gridCol w:w="1134"/>
        <w:gridCol w:w="851"/>
        <w:gridCol w:w="1605"/>
        <w:gridCol w:w="1560"/>
      </w:tblGrid>
      <w:tr w:rsidR="003441F0" w:rsidRPr="003441F0" w:rsidTr="00327B2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b/>
                <w:sz w:val="20"/>
                <w:szCs w:val="20"/>
                <w:lang w:val="kk-KZ"/>
              </w:rPr>
              <w:t xml:space="preserve">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b/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441F0" w:rsidRPr="003441F0" w:rsidTr="00327B2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Азитромицин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порошок для приготовления суспензии для приема внутрь 200 мг/5 мл, 37.5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3193,45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15967,25</w:t>
            </w:r>
          </w:p>
        </w:tc>
      </w:tr>
      <w:tr w:rsidR="003441F0" w:rsidRPr="003441F0" w:rsidTr="00327B2F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Амлодипин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таблетки 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16600</w:t>
            </w:r>
          </w:p>
        </w:tc>
      </w:tr>
      <w:tr w:rsidR="003441F0" w:rsidRPr="003441F0" w:rsidTr="00327B2F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Аторвастатин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таблетки, покрытые пленочной оболочкой 80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120,85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253785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Атропина сульфат раствор для инъекций 1мг /мл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104,88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262200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гранулы для приготовления раствора для приема внутрь 200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пакет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69,02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2760,8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таблетки шипучие 600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115,48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4619,2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Бриллиантовый зеленый раствор 1 % 30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42,07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25242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Варфарин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таблетка 2,5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10,13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30390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 xml:space="preserve">Глюкоза раствор для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20 % 200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1205200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 xml:space="preserve">Глюкоза раствор для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5 % 200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148,55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237680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Диазепам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раствор для внутримышечных и внутривенных инъекций 5 мг/мл по 2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160,76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289368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 раствор для инъекций 0,25 мг/мл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24,4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12200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 таблетки 0,25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4,16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3328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Дорипенем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порошок для приготовления раствора для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9 453,55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472677,5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Железа III гидроксид сахарозный комплекс раствор для внутривенного введения 2 г /5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1525,81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915486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 xml:space="preserve">Жировая эмульсия для парентерального питания эмульсия для внутривенных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>, 0,2, 500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3 341,46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1169511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 xml:space="preserve">Иммуноглобулин против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цитомегаловируса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раствор для в/в 1000 </w:t>
            </w:r>
            <w:proofErr w:type="gramStart"/>
            <w:r w:rsidRPr="003441F0">
              <w:rPr>
                <w:rFonts w:cs="Times New Roman"/>
                <w:sz w:val="20"/>
                <w:szCs w:val="20"/>
              </w:rPr>
              <w:t>ЕД</w:t>
            </w:r>
            <w:proofErr w:type="gramEnd"/>
            <w:r w:rsidRPr="003441F0">
              <w:rPr>
                <w:rFonts w:cs="Times New Roman"/>
                <w:sz w:val="20"/>
                <w:szCs w:val="20"/>
              </w:rPr>
              <w:t xml:space="preserve"> /10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59150,41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1183008,2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Кальция глюконат  раствор для инъекций 100 мг/мл, 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32550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аминоплазмаль</w:t>
            </w:r>
            <w:proofErr w:type="spellEnd"/>
            <w:r w:rsidRPr="003441F0">
              <w:rPr>
                <w:sz w:val="20"/>
                <w:szCs w:val="20"/>
              </w:rPr>
              <w:t xml:space="preserve"> Е)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gramStart"/>
            <w:r w:rsidRPr="003441F0">
              <w:rPr>
                <w:sz w:val="20"/>
                <w:szCs w:val="20"/>
              </w:rPr>
              <w:t>.С</w:t>
            </w:r>
            <w:proofErr w:type="gramEnd"/>
            <w:r w:rsidRPr="003441F0">
              <w:rPr>
                <w:sz w:val="20"/>
                <w:szCs w:val="20"/>
              </w:rPr>
              <w:t>тандартный</w:t>
            </w:r>
            <w:proofErr w:type="spellEnd"/>
            <w:r w:rsidRPr="003441F0">
              <w:rPr>
                <w:sz w:val="20"/>
                <w:szCs w:val="20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3441F0">
              <w:rPr>
                <w:sz w:val="20"/>
                <w:szCs w:val="20"/>
              </w:rPr>
              <w:t>л,общий</w:t>
            </w:r>
            <w:proofErr w:type="spellEnd"/>
            <w:r w:rsidRPr="003441F0">
              <w:rPr>
                <w:sz w:val="20"/>
                <w:szCs w:val="20"/>
              </w:rPr>
              <w:t xml:space="preserve"> азот 7,9 г/</w:t>
            </w:r>
            <w:proofErr w:type="spellStart"/>
            <w:r w:rsidRPr="003441F0">
              <w:rPr>
                <w:sz w:val="20"/>
                <w:szCs w:val="20"/>
              </w:rPr>
              <w:t>л.Теоретическая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осмолярность</w:t>
            </w:r>
            <w:proofErr w:type="spellEnd"/>
            <w:r w:rsidRPr="003441F0">
              <w:rPr>
                <w:sz w:val="20"/>
                <w:szCs w:val="20"/>
              </w:rPr>
              <w:t xml:space="preserve"> 588 </w:t>
            </w:r>
            <w:proofErr w:type="spellStart"/>
            <w:r w:rsidRPr="003441F0">
              <w:rPr>
                <w:sz w:val="20"/>
                <w:szCs w:val="20"/>
              </w:rPr>
              <w:t>мОсм</w:t>
            </w:r>
            <w:proofErr w:type="spellEnd"/>
            <w:r w:rsidRPr="003441F0">
              <w:rPr>
                <w:sz w:val="20"/>
                <w:szCs w:val="20"/>
              </w:rPr>
              <w:t>/</w:t>
            </w:r>
            <w:proofErr w:type="spellStart"/>
            <w:r w:rsidRPr="003441F0">
              <w:rPr>
                <w:sz w:val="20"/>
                <w:szCs w:val="20"/>
              </w:rPr>
              <w:t>л.Общая</w:t>
            </w:r>
            <w:proofErr w:type="spellEnd"/>
            <w:r w:rsidRPr="003441F0">
              <w:rPr>
                <w:sz w:val="20"/>
                <w:szCs w:val="20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1 846,88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129281,6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Нумета</w:t>
            </w:r>
            <w:proofErr w:type="spellEnd"/>
            <w:r w:rsidRPr="003441F0">
              <w:rPr>
                <w:sz w:val="20"/>
                <w:szCs w:val="20"/>
              </w:rPr>
              <w:t xml:space="preserve"> G16E)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500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35 823,82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716476,4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Нумета</w:t>
            </w:r>
            <w:proofErr w:type="spellEnd"/>
            <w:r w:rsidRPr="003441F0">
              <w:rPr>
                <w:sz w:val="20"/>
                <w:szCs w:val="20"/>
              </w:rPr>
              <w:t xml:space="preserve"> G19E)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1000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пакет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37 813,33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756266,6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Нутрифлекс</w:t>
            </w:r>
            <w:proofErr w:type="spellEnd"/>
            <w:r w:rsidRPr="003441F0">
              <w:rPr>
                <w:sz w:val="20"/>
                <w:szCs w:val="20"/>
              </w:rPr>
              <w:t xml:space="preserve">)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1250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9 278,60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463930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для парентерального питания (</w:t>
            </w:r>
            <w:proofErr w:type="spellStart"/>
            <w:r w:rsidRPr="003441F0">
              <w:rPr>
                <w:sz w:val="20"/>
                <w:szCs w:val="20"/>
              </w:rPr>
              <w:t>аминоплазмаль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Гепа</w:t>
            </w:r>
            <w:proofErr w:type="spellEnd"/>
            <w:r w:rsidRPr="003441F0">
              <w:rPr>
                <w:sz w:val="20"/>
                <w:szCs w:val="20"/>
              </w:rPr>
              <w:t xml:space="preserve"> 10%)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 (0,1, 500 мл (Аминокислоты для парентерального питания 250 мл 10%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gramStart"/>
            <w:r w:rsidRPr="003441F0">
              <w:rPr>
                <w:sz w:val="20"/>
                <w:szCs w:val="20"/>
              </w:rPr>
              <w:t>.С</w:t>
            </w:r>
            <w:proofErr w:type="gramEnd"/>
            <w:r w:rsidRPr="003441F0">
              <w:rPr>
                <w:sz w:val="20"/>
                <w:szCs w:val="20"/>
              </w:rPr>
              <w:t>пециальный</w:t>
            </w:r>
            <w:proofErr w:type="spellEnd"/>
            <w:r w:rsidRPr="003441F0">
              <w:rPr>
                <w:sz w:val="20"/>
                <w:szCs w:val="20"/>
              </w:rPr>
              <w:t xml:space="preserve">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 w:rsidRPr="003441F0">
              <w:rPr>
                <w:sz w:val="20"/>
                <w:szCs w:val="20"/>
              </w:rPr>
              <w:t>л,общий</w:t>
            </w:r>
            <w:proofErr w:type="spellEnd"/>
            <w:r w:rsidRPr="003441F0">
              <w:rPr>
                <w:sz w:val="20"/>
                <w:szCs w:val="20"/>
              </w:rPr>
              <w:t xml:space="preserve"> азот 15,3 г/</w:t>
            </w:r>
            <w:proofErr w:type="spellStart"/>
            <w:r w:rsidRPr="003441F0">
              <w:rPr>
                <w:sz w:val="20"/>
                <w:szCs w:val="20"/>
              </w:rPr>
              <w:t>л,Теоретическая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осмолярность</w:t>
            </w:r>
            <w:proofErr w:type="spellEnd"/>
            <w:r w:rsidRPr="003441F0">
              <w:rPr>
                <w:sz w:val="20"/>
                <w:szCs w:val="20"/>
              </w:rPr>
              <w:t xml:space="preserve"> 875 </w:t>
            </w:r>
            <w:proofErr w:type="spellStart"/>
            <w:r w:rsidRPr="003441F0">
              <w:rPr>
                <w:sz w:val="20"/>
                <w:szCs w:val="20"/>
              </w:rPr>
              <w:t>мосм</w:t>
            </w:r>
            <w:proofErr w:type="spellEnd"/>
            <w:r w:rsidRPr="003441F0">
              <w:rPr>
                <w:sz w:val="20"/>
                <w:szCs w:val="20"/>
              </w:rPr>
              <w:t>/</w:t>
            </w:r>
            <w:proofErr w:type="spellStart"/>
            <w:r w:rsidRPr="003441F0">
              <w:rPr>
                <w:sz w:val="20"/>
                <w:szCs w:val="20"/>
              </w:rPr>
              <w:t>л.Общая</w:t>
            </w:r>
            <w:proofErr w:type="spellEnd"/>
            <w:r w:rsidRPr="003441F0">
              <w:rPr>
                <w:sz w:val="20"/>
                <w:szCs w:val="20"/>
              </w:rPr>
              <w:t xml:space="preserve"> калорийность 1675 кДж/л(400 </w:t>
            </w:r>
            <w:proofErr w:type="gramStart"/>
            <w:r w:rsidRPr="003441F0">
              <w:rPr>
                <w:sz w:val="20"/>
                <w:szCs w:val="20"/>
              </w:rPr>
              <w:t>ккал/л,500 мл))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2 712,53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542506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gramStart"/>
            <w:r w:rsidRPr="003441F0">
              <w:rPr>
                <w:sz w:val="20"/>
                <w:szCs w:val="20"/>
              </w:rPr>
              <w:t xml:space="preserve">Комплекс аминокислот для парентерального питания не менее 19 аминокислот)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 250 мл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3 382,66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5073990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 xml:space="preserve">Комплекс аминокислот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625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5 494,99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274749,5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Линезолид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 2 мг /мл, 300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18208,44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546253,2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Лозартан</w:t>
            </w:r>
            <w:proofErr w:type="spellEnd"/>
            <w:r w:rsidRPr="003441F0">
              <w:rPr>
                <w:sz w:val="20"/>
                <w:szCs w:val="20"/>
              </w:rPr>
              <w:t xml:space="preserve"> калия, </w:t>
            </w:r>
            <w:proofErr w:type="spellStart"/>
            <w:r w:rsidRPr="003441F0">
              <w:rPr>
                <w:sz w:val="20"/>
                <w:szCs w:val="20"/>
              </w:rPr>
              <w:t>гидрохлоротиазид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таблетка 50 мг+12,5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37,44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74880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Микофеноловая</w:t>
            </w:r>
            <w:proofErr w:type="spellEnd"/>
            <w:r w:rsidRPr="003441F0">
              <w:rPr>
                <w:sz w:val="20"/>
                <w:szCs w:val="20"/>
              </w:rPr>
              <w:t xml:space="preserve"> кислота/</w:t>
            </w:r>
            <w:proofErr w:type="spellStart"/>
            <w:r w:rsidRPr="003441F0">
              <w:rPr>
                <w:sz w:val="20"/>
                <w:szCs w:val="20"/>
              </w:rPr>
              <w:t>микофенолат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мофетил</w:t>
            </w:r>
            <w:proofErr w:type="spellEnd"/>
            <w:r w:rsidRPr="003441F0">
              <w:rPr>
                <w:sz w:val="20"/>
                <w:szCs w:val="20"/>
              </w:rPr>
              <w:t xml:space="preserve"> капсулы 250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капсула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162,89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651560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Микофеноловая</w:t>
            </w:r>
            <w:proofErr w:type="spellEnd"/>
            <w:r w:rsidRPr="003441F0">
              <w:rPr>
                <w:sz w:val="20"/>
                <w:szCs w:val="20"/>
              </w:rPr>
              <w:t xml:space="preserve"> кислота/</w:t>
            </w:r>
            <w:proofErr w:type="spellStart"/>
            <w:r w:rsidRPr="003441F0">
              <w:rPr>
                <w:sz w:val="20"/>
                <w:szCs w:val="20"/>
              </w:rPr>
              <w:t>микофенолат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мофетил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кишечнорастворимой оболочкой 180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271,52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190064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 xml:space="preserve">Натрия хлорид + Калия хлорид + Кальция хлорида </w:t>
            </w:r>
            <w:proofErr w:type="spellStart"/>
            <w:r w:rsidRPr="003441F0">
              <w:rPr>
                <w:sz w:val="20"/>
                <w:szCs w:val="20"/>
              </w:rPr>
              <w:t>дигидрат</w:t>
            </w:r>
            <w:proofErr w:type="spellEnd"/>
            <w:r w:rsidRPr="003441F0">
              <w:rPr>
                <w:sz w:val="20"/>
                <w:szCs w:val="20"/>
              </w:rPr>
              <w:t xml:space="preserve"> + Магния хлорида </w:t>
            </w:r>
            <w:proofErr w:type="spellStart"/>
            <w:r w:rsidRPr="003441F0">
              <w:rPr>
                <w:sz w:val="20"/>
                <w:szCs w:val="20"/>
              </w:rPr>
              <w:t>гексагидрат</w:t>
            </w:r>
            <w:proofErr w:type="spellEnd"/>
            <w:r w:rsidRPr="003441F0">
              <w:rPr>
                <w:sz w:val="20"/>
                <w:szCs w:val="20"/>
              </w:rPr>
              <w:t xml:space="preserve"> + Натрия ацетата </w:t>
            </w:r>
            <w:proofErr w:type="spellStart"/>
            <w:r w:rsidRPr="003441F0">
              <w:rPr>
                <w:sz w:val="20"/>
                <w:szCs w:val="20"/>
              </w:rPr>
              <w:t>тригидрат</w:t>
            </w:r>
            <w:proofErr w:type="spellEnd"/>
            <w:r w:rsidRPr="003441F0">
              <w:rPr>
                <w:sz w:val="20"/>
                <w:szCs w:val="20"/>
              </w:rPr>
              <w:t xml:space="preserve"> + Яблочная кислота (</w:t>
            </w:r>
            <w:proofErr w:type="spellStart"/>
            <w:r w:rsidRPr="003441F0">
              <w:rPr>
                <w:sz w:val="20"/>
                <w:szCs w:val="20"/>
              </w:rPr>
              <w:t>Стерофундин</w:t>
            </w:r>
            <w:proofErr w:type="spellEnd"/>
            <w:r w:rsidRPr="003441F0">
              <w:rPr>
                <w:sz w:val="20"/>
                <w:szCs w:val="20"/>
              </w:rPr>
              <w:t xml:space="preserve">  ISO)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, 500 мл (Сбалансированный электролитный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инфузионной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терапии</w:t>
            </w:r>
            <w:proofErr w:type="gramStart"/>
            <w:r w:rsidRPr="003441F0">
              <w:rPr>
                <w:sz w:val="20"/>
                <w:szCs w:val="20"/>
              </w:rPr>
              <w:t>,б</w:t>
            </w:r>
            <w:proofErr w:type="gramEnd"/>
            <w:r w:rsidRPr="003441F0">
              <w:rPr>
                <w:sz w:val="20"/>
                <w:szCs w:val="20"/>
              </w:rPr>
              <w:t>утылка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полиэтиленовая,с</w:t>
            </w:r>
            <w:proofErr w:type="spellEnd"/>
            <w:r w:rsidRPr="003441F0">
              <w:rPr>
                <w:sz w:val="20"/>
                <w:szCs w:val="20"/>
              </w:rPr>
              <w:t xml:space="preserve"> европейским колпачком, </w:t>
            </w:r>
            <w:proofErr w:type="spellStart"/>
            <w:r w:rsidRPr="003441F0">
              <w:rPr>
                <w:sz w:val="20"/>
                <w:szCs w:val="20"/>
              </w:rPr>
              <w:t>обьем</w:t>
            </w:r>
            <w:proofErr w:type="spellEnd"/>
            <w:r w:rsidRPr="003441F0">
              <w:rPr>
                <w:sz w:val="20"/>
                <w:szCs w:val="20"/>
              </w:rPr>
              <w:t xml:space="preserve"> 500 мл)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462,35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46235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Нистатин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оболочкой 500000 </w:t>
            </w:r>
            <w:proofErr w:type="gramStart"/>
            <w:r w:rsidRPr="003441F0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63200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Нифедипин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оболочкой, 20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920,4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Папаверина гидрохлорид раствор для инъекций 2% по 2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9,71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14565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Пентоксифиллин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2%, 5 мл (№ 5)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14,62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21930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Пиперрациллин</w:t>
            </w:r>
            <w:proofErr w:type="spellEnd"/>
            <w:r w:rsidRPr="003441F0">
              <w:rPr>
                <w:sz w:val="20"/>
                <w:szCs w:val="20"/>
              </w:rPr>
              <w:t xml:space="preserve">, </w:t>
            </w:r>
            <w:proofErr w:type="spellStart"/>
            <w:r w:rsidRPr="003441F0">
              <w:rPr>
                <w:sz w:val="20"/>
                <w:szCs w:val="20"/>
              </w:rPr>
              <w:t>тазобактам</w:t>
            </w:r>
            <w:proofErr w:type="spellEnd"/>
            <w:r w:rsidRPr="003441F0">
              <w:rPr>
                <w:sz w:val="20"/>
                <w:szCs w:val="20"/>
              </w:rPr>
              <w:t xml:space="preserve"> порошок для приготовления раствора для инъекций 4,5 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1 251,96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1877940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Силденафил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пленочной оболочкой 25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53568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Сульфаметоксазол</w:t>
            </w:r>
            <w:proofErr w:type="spellEnd"/>
            <w:r w:rsidRPr="003441F0">
              <w:rPr>
                <w:sz w:val="20"/>
                <w:szCs w:val="20"/>
              </w:rPr>
              <w:t xml:space="preserve">+ </w:t>
            </w:r>
            <w:proofErr w:type="spellStart"/>
            <w:r w:rsidRPr="003441F0">
              <w:rPr>
                <w:sz w:val="20"/>
                <w:szCs w:val="20"/>
              </w:rPr>
              <w:t>триметоприм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 480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13340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Такролимус</w:t>
            </w:r>
            <w:proofErr w:type="spellEnd"/>
            <w:r w:rsidRPr="003441F0">
              <w:rPr>
                <w:sz w:val="20"/>
                <w:szCs w:val="20"/>
              </w:rPr>
              <w:t xml:space="preserve"> концентрат для приготовления раствора для внутривенного введения 5 мг /мл 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24165,72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724971,6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Трамадол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5% по 2 мл (№ 5)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84,62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152316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Транексамовая</w:t>
            </w:r>
            <w:proofErr w:type="spellEnd"/>
            <w:r w:rsidRPr="003441F0">
              <w:rPr>
                <w:sz w:val="20"/>
                <w:szCs w:val="20"/>
              </w:rPr>
              <w:t xml:space="preserve"> кислота раствор для инъекций 500 мг/5 мл 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1 013,08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759810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Урапидил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внутривенного введения 5 мг/мл, 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650,56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650560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 xml:space="preserve">Фактор свертывания крови II,VII, IX, и X в комбинации </w:t>
            </w:r>
            <w:proofErr w:type="spellStart"/>
            <w:r w:rsidRPr="003441F0">
              <w:rPr>
                <w:sz w:val="20"/>
                <w:szCs w:val="20"/>
              </w:rPr>
              <w:t>лиофилизированный</w:t>
            </w:r>
            <w:proofErr w:type="spellEnd"/>
            <w:r w:rsidRPr="003441F0">
              <w:rPr>
                <w:sz w:val="20"/>
                <w:szCs w:val="20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97861,93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978619,3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Фенилэфрин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1 %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38,47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46164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Фенобарбитал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таблетка 100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11,16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558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Хлоропирамин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2% по 1 мл (№5)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75,64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52948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Циклоспорин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приема внутрь 100мг/мл по 50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30 778,36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307783,6</w:t>
            </w:r>
          </w:p>
        </w:tc>
      </w:tr>
      <w:tr w:rsidR="003441F0" w:rsidRPr="00327B2F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27B2F">
              <w:rPr>
                <w:sz w:val="20"/>
                <w:szCs w:val="20"/>
              </w:rPr>
              <w:t>Тримеперидин</w:t>
            </w:r>
            <w:proofErr w:type="spellEnd"/>
            <w:r w:rsidRPr="00327B2F">
              <w:rPr>
                <w:sz w:val="20"/>
                <w:szCs w:val="20"/>
              </w:rPr>
              <w:t xml:space="preserve"> раствор для инъекций 2% 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119,75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359250</w:t>
            </w:r>
          </w:p>
        </w:tc>
      </w:tr>
      <w:tr w:rsidR="003441F0" w:rsidRPr="00327B2F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proofErr w:type="spellStart"/>
            <w:r w:rsidRPr="00327B2F">
              <w:rPr>
                <w:sz w:val="20"/>
                <w:szCs w:val="20"/>
              </w:rPr>
              <w:t>Фентанил</w:t>
            </w:r>
            <w:proofErr w:type="spellEnd"/>
            <w:r w:rsidRPr="00327B2F">
              <w:rPr>
                <w:sz w:val="20"/>
                <w:szCs w:val="20"/>
              </w:rPr>
              <w:t xml:space="preserve"> раствор для инъекций 0,005%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18000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109,2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1965600</w:t>
            </w:r>
          </w:p>
        </w:tc>
      </w:tr>
      <w:tr w:rsidR="003441F0" w:rsidRPr="00327B2F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Морфин раствор для инъекций 1% 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85,82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27B2F" w:rsidRDefault="003441F0" w:rsidP="00327B2F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8582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27B2F" w:rsidRDefault="00327B2F" w:rsidP="0032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Антитромбин </w:t>
            </w:r>
            <w:r>
              <w:rPr>
                <w:rFonts w:cs="Times New Roman"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sz w:val="20"/>
                <w:szCs w:val="20"/>
              </w:rPr>
              <w:t xml:space="preserve">. Порошок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приготовления раствора для внутривенного введения в комплекте с растворителем (вода для инъекции)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27B2F" w:rsidRDefault="00327B2F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27B2F" w:rsidRDefault="00327B2F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27B2F" w:rsidRDefault="00327B2F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73 912,00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27B2F" w:rsidRDefault="00327B2F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739 120,00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327B2F">
        <w:rPr>
          <w:rFonts w:cs="Times New Roman"/>
          <w:sz w:val="22"/>
          <w:szCs w:val="22"/>
          <w:lang w:val="kk-KZ"/>
        </w:rPr>
        <w:t>24</w:t>
      </w:r>
      <w:r w:rsidR="00956C23">
        <w:rPr>
          <w:rFonts w:cs="Times New Roman"/>
          <w:sz w:val="22"/>
          <w:szCs w:val="22"/>
          <w:lang w:val="kk-KZ"/>
        </w:rPr>
        <w:t> </w:t>
      </w:r>
      <w:r w:rsidR="00327B2F">
        <w:rPr>
          <w:rFonts w:cs="Times New Roman"/>
          <w:sz w:val="22"/>
          <w:szCs w:val="22"/>
          <w:lang w:val="kk-KZ"/>
        </w:rPr>
        <w:t>390</w:t>
      </w:r>
      <w:r w:rsidR="00956C23">
        <w:rPr>
          <w:rFonts w:cs="Times New Roman"/>
          <w:sz w:val="22"/>
          <w:szCs w:val="22"/>
          <w:lang w:val="kk-KZ"/>
        </w:rPr>
        <w:t> </w:t>
      </w:r>
      <w:r w:rsidR="00327B2F">
        <w:rPr>
          <w:rFonts w:cs="Times New Roman"/>
          <w:sz w:val="22"/>
          <w:szCs w:val="22"/>
          <w:lang w:val="kk-KZ"/>
        </w:rPr>
        <w:t>511</w:t>
      </w:r>
      <w:r w:rsidR="00956C23">
        <w:rPr>
          <w:rFonts w:cs="Times New Roman"/>
          <w:sz w:val="22"/>
          <w:szCs w:val="22"/>
          <w:lang w:val="kk-KZ"/>
        </w:rPr>
        <w:t>,</w:t>
      </w:r>
      <w:r w:rsidR="00327B2F">
        <w:rPr>
          <w:rFonts w:cs="Times New Roman"/>
          <w:sz w:val="22"/>
          <w:szCs w:val="22"/>
        </w:rPr>
        <w:t>15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327B2F">
        <w:rPr>
          <w:rFonts w:cs="Times New Roman"/>
          <w:sz w:val="22"/>
          <w:szCs w:val="22"/>
        </w:rPr>
        <w:t>двадцать четыре миллиона триста девяносто тысяч пятьсот одиннадцать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327B2F">
        <w:rPr>
          <w:rFonts w:cs="Times New Roman"/>
          <w:sz w:val="22"/>
          <w:szCs w:val="22"/>
        </w:rPr>
        <w:t xml:space="preserve"> пятнадцать </w:t>
      </w:r>
      <w:proofErr w:type="spellStart"/>
      <w:r w:rsidR="00327B2F">
        <w:rPr>
          <w:rFonts w:cs="Times New Roman"/>
          <w:sz w:val="22"/>
          <w:szCs w:val="22"/>
        </w:rPr>
        <w:t>тиын</w:t>
      </w:r>
      <w:proofErr w:type="spellEnd"/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27B2F">
        <w:rPr>
          <w:rFonts w:cs="Times New Roman"/>
          <w:sz w:val="22"/>
          <w:szCs w:val="22"/>
          <w:lang w:val="kk-KZ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327B2F">
        <w:rPr>
          <w:rFonts w:cs="Times New Roman"/>
          <w:sz w:val="22"/>
          <w:szCs w:val="22"/>
          <w:lang w:val="kk-KZ"/>
        </w:rPr>
        <w:t>0</w:t>
      </w:r>
      <w:r w:rsidR="00956C23">
        <w:rPr>
          <w:rFonts w:cs="Times New Roman"/>
          <w:sz w:val="22"/>
          <w:szCs w:val="22"/>
          <w:lang w:val="kk-KZ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lastRenderedPageBreak/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</w:t>
      </w:r>
      <w:r w:rsidRPr="001F24FA">
        <w:rPr>
          <w:rStyle w:val="s0"/>
          <w:color w:val="auto"/>
          <w:sz w:val="22"/>
          <w:szCs w:val="22"/>
        </w:rPr>
        <w:lastRenderedPageBreak/>
        <w:t>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27B2F"/>
    <w:rsid w:val="0033085D"/>
    <w:rsid w:val="003347CB"/>
    <w:rsid w:val="003441F0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520F-A4DF-459A-A856-31649D6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86</cp:revision>
  <cp:lastPrinted>2020-03-17T05:15:00Z</cp:lastPrinted>
  <dcterms:created xsi:type="dcterms:W3CDTF">2019-01-15T05:22:00Z</dcterms:created>
  <dcterms:modified xsi:type="dcterms:W3CDTF">2020-03-17T05:17:00Z</dcterms:modified>
</cp:coreProperties>
</file>