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DB" w:rsidRDefault="00A55DDB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Pr="00797AC7" w:rsidRDefault="00772B7A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BC566F" w:rsidRDefault="00BC566F" w:rsidP="0069156E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69156E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69156E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DC66A2" w:rsidRPr="00F41834" w:rsidTr="00BA6666">
        <w:tc>
          <w:tcPr>
            <w:tcW w:w="4751" w:type="dxa"/>
            <w:shd w:val="clear" w:color="auto" w:fill="auto"/>
          </w:tcPr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66A2" w:rsidRPr="00527F0A" w:rsidRDefault="00173CA0" w:rsidP="00173CA0">
            <w:pPr>
              <w:rPr>
                <w:b/>
                <w:color w:val="000000"/>
                <w:sz w:val="28"/>
              </w:rPr>
            </w:pPr>
            <w:r w:rsidRPr="00527F0A">
              <w:rPr>
                <w:b/>
                <w:color w:val="000000"/>
                <w:sz w:val="28"/>
              </w:rPr>
              <w:t>«Ретроградные эндоскопические методы лечения механической желтухи»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Специальность:</w:t>
            </w: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E16C38" w:rsidRDefault="00E16C38" w:rsidP="0069156E">
            <w:pPr>
              <w:ind w:right="-172"/>
              <w:rPr>
                <w:sz w:val="28"/>
                <w:szCs w:val="24"/>
              </w:rPr>
            </w:pPr>
          </w:p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E16C38" w:rsidRPr="00E16C38" w:rsidRDefault="00E16C38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16C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специальности)»</w:t>
            </w:r>
          </w:p>
          <w:p w:rsidR="00DC66A2" w:rsidRPr="0069156E" w:rsidRDefault="00DC66A2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общие хирурги, врачи-эндоскописты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54 часа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41834">
              <w:rPr>
                <w:sz w:val="28"/>
                <w:szCs w:val="28"/>
              </w:rPr>
              <w:t xml:space="preserve"> часа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F41834" w:rsidRDefault="00173CA0" w:rsidP="00E22CD7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18 часов</w:t>
            </w:r>
          </w:p>
        </w:tc>
      </w:tr>
      <w:tr w:rsidR="00173CA0" w:rsidRPr="00F41834" w:rsidTr="004A502C">
        <w:tc>
          <w:tcPr>
            <w:tcW w:w="4751" w:type="dxa"/>
            <w:shd w:val="clear" w:color="auto" w:fill="auto"/>
          </w:tcPr>
          <w:p w:rsidR="00173CA0" w:rsidRPr="000412F8" w:rsidRDefault="00173CA0" w:rsidP="00E22CD7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173CA0" w:rsidRPr="00F41834" w:rsidRDefault="00173CA0" w:rsidP="00E22CD7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73CA0" w:rsidRPr="00F41834" w:rsidRDefault="00173CA0" w:rsidP="00E22CD7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pStyle w:val="4"/>
        <w:rPr>
          <w:sz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69156E" w:rsidRPr="00797AC7" w:rsidRDefault="0069156E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C828EA" w:rsidRDefault="0069156E" w:rsidP="0069156E">
      <w:pPr>
        <w:jc w:val="both"/>
      </w:pPr>
      <w:r>
        <w:rPr>
          <w:sz w:val="24"/>
          <w:szCs w:val="24"/>
        </w:rPr>
        <w:lastRenderedPageBreak/>
        <w:t xml:space="preserve">     </w:t>
      </w:r>
      <w:r w:rsidR="00C65F7B" w:rsidRPr="00C65F7B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71435A" w:rsidRPr="0071435A">
        <w:rPr>
          <w:sz w:val="24"/>
          <w:szCs w:val="24"/>
        </w:rPr>
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</w:r>
      <w:r w:rsidR="00C65F7B" w:rsidRPr="0071435A">
        <w:rPr>
          <w:sz w:val="24"/>
          <w:szCs w:val="24"/>
        </w:rPr>
        <w:t>»,</w:t>
      </w:r>
      <w:r w:rsidR="00C65F7B" w:rsidRPr="00C65F7B">
        <w:rPr>
          <w:sz w:val="24"/>
          <w:szCs w:val="24"/>
        </w:rPr>
        <w:t xml:space="preserve"> утвержденных приказом министра здравоохранения РК от 14 апреля 2017 года за № 165.</w:t>
      </w:r>
    </w:p>
    <w:p w:rsidR="00C828EA" w:rsidRPr="00C828EA" w:rsidRDefault="00C828EA" w:rsidP="0069156E"/>
    <w:p w:rsidR="00A55DDB" w:rsidRPr="00797AC7" w:rsidRDefault="00A55DDB" w:rsidP="0069156E">
      <w:pPr>
        <w:rPr>
          <w:sz w:val="24"/>
          <w:szCs w:val="24"/>
        </w:rPr>
      </w:pPr>
    </w:p>
    <w:p w:rsidR="0069156E" w:rsidRPr="0069156E" w:rsidRDefault="0069156E" w:rsidP="0069156E">
      <w:pPr>
        <w:rPr>
          <w:sz w:val="24"/>
          <w:szCs w:val="24"/>
        </w:rPr>
      </w:pPr>
      <w:r w:rsidRPr="0069156E">
        <w:rPr>
          <w:sz w:val="24"/>
          <w:szCs w:val="24"/>
        </w:rPr>
        <w:t>Рабочая учебная программ</w:t>
      </w:r>
      <w:r w:rsidR="00EC019D">
        <w:rPr>
          <w:sz w:val="24"/>
          <w:szCs w:val="24"/>
        </w:rPr>
        <w:t>а</w:t>
      </w:r>
      <w:r w:rsidRPr="0069156E">
        <w:rPr>
          <w:sz w:val="24"/>
          <w:szCs w:val="24"/>
        </w:rPr>
        <w:t xml:space="preserve"> составлена:</w:t>
      </w:r>
    </w:p>
    <w:p w:rsidR="0069156E" w:rsidRPr="0069156E" w:rsidRDefault="0069156E" w:rsidP="0069156E">
      <w:pPr>
        <w:rPr>
          <w:sz w:val="24"/>
          <w:szCs w:val="24"/>
        </w:rPr>
      </w:pPr>
    </w:p>
    <w:p w:rsidR="0069156E" w:rsidRPr="0069156E" w:rsidRDefault="0069156E" w:rsidP="0069156E">
      <w:pPr>
        <w:rPr>
          <w:sz w:val="24"/>
          <w:szCs w:val="24"/>
        </w:rPr>
      </w:pPr>
      <w:r w:rsidRPr="0069156E">
        <w:rPr>
          <w:sz w:val="24"/>
          <w:szCs w:val="24"/>
        </w:rPr>
        <w:t>1.</w:t>
      </w:r>
      <w:r w:rsidRPr="0069156E">
        <w:rPr>
          <w:sz w:val="24"/>
          <w:szCs w:val="24"/>
        </w:rPr>
        <w:tab/>
      </w:r>
      <w:r w:rsidR="00B56AE7">
        <w:rPr>
          <w:sz w:val="24"/>
          <w:szCs w:val="24"/>
        </w:rPr>
        <w:t xml:space="preserve">Заведующий отделением эндоскопии </w:t>
      </w:r>
      <w:r w:rsidRPr="0069156E">
        <w:rPr>
          <w:sz w:val="24"/>
          <w:szCs w:val="24"/>
        </w:rPr>
        <w:t>Абдрашев Ерлан Байтуреевич</w:t>
      </w:r>
    </w:p>
    <w:p w:rsidR="0069156E" w:rsidRPr="0069156E" w:rsidRDefault="0069156E" w:rsidP="0069156E">
      <w:pPr>
        <w:rPr>
          <w:sz w:val="24"/>
          <w:szCs w:val="24"/>
        </w:rPr>
      </w:pPr>
    </w:p>
    <w:p w:rsidR="00406079" w:rsidRPr="00797AC7" w:rsidRDefault="0069156E" w:rsidP="0069156E">
      <w:pPr>
        <w:rPr>
          <w:sz w:val="24"/>
          <w:szCs w:val="24"/>
        </w:rPr>
      </w:pPr>
      <w:r w:rsidRPr="0069156E">
        <w:rPr>
          <w:sz w:val="24"/>
          <w:szCs w:val="24"/>
        </w:rPr>
        <w:t>2.</w:t>
      </w:r>
      <w:r w:rsidRPr="0069156E">
        <w:rPr>
          <w:sz w:val="24"/>
          <w:szCs w:val="24"/>
        </w:rPr>
        <w:tab/>
      </w:r>
      <w:r w:rsidR="00B56AE7">
        <w:rPr>
          <w:sz w:val="24"/>
          <w:szCs w:val="24"/>
        </w:rPr>
        <w:t xml:space="preserve">Врач-эндоскопист отделения эндоскопии </w:t>
      </w:r>
      <w:r w:rsidRPr="0069156E">
        <w:rPr>
          <w:sz w:val="24"/>
          <w:szCs w:val="24"/>
        </w:rPr>
        <w:t>Абдиев Нуркен Махамашович</w:t>
      </w: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69156E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772B7A" w:rsidRDefault="00772B7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69156E" w:rsidRDefault="0069156E" w:rsidP="00057552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lastRenderedPageBreak/>
        <w:t>1. Пояснительная записка</w:t>
      </w:r>
    </w:p>
    <w:p w:rsidR="0069156E" w:rsidRPr="0069156E" w:rsidRDefault="0069156E" w:rsidP="00057552">
      <w:pPr>
        <w:pStyle w:val="23"/>
        <w:numPr>
          <w:ilvl w:val="1"/>
          <w:numId w:val="23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 xml:space="preserve">Актуальность: </w:t>
      </w:r>
    </w:p>
    <w:p w:rsidR="00E426D0" w:rsidRDefault="009D4E52" w:rsidP="00057552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6D0">
        <w:rPr>
          <w:rFonts w:ascii="Times New Roman" w:hAnsi="Times New Roman" w:cs="Times New Roman"/>
          <w:sz w:val="28"/>
          <w:szCs w:val="28"/>
        </w:rPr>
        <w:t xml:space="preserve"> </w:t>
      </w:r>
      <w:r w:rsidRPr="009D4E52">
        <w:rPr>
          <w:rFonts w:ascii="Times New Roman" w:hAnsi="Times New Roman" w:cs="Times New Roman"/>
          <w:sz w:val="24"/>
          <w:szCs w:val="24"/>
        </w:rPr>
        <w:t xml:space="preserve">Механическая желтуха одна из ведущих проблем в хирургической и онкологической практике. Причинами данного синдрома могут быть камни желчных протоков, сдавления опухолью, рубцовые изменения желчных путей, развившиеся в результате хирургические вмешательства (холецистэктомия, трансплантация печени). </w:t>
      </w:r>
    </w:p>
    <w:p w:rsidR="009D4E52" w:rsidRPr="009D4E52" w:rsidRDefault="00E426D0" w:rsidP="00057552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Не</w:t>
      </w:r>
      <w:r w:rsidR="009D4E52" w:rsidRPr="009D4E52">
        <w:rPr>
          <w:rFonts w:ascii="Times New Roman" w:hAnsi="Times New Roman" w:cs="Times New Roman"/>
          <w:sz w:val="24"/>
          <w:szCs w:val="24"/>
        </w:rPr>
        <w:t>разрешенная обтурация желчных протоков приводят к тяжелым нарушениям гомеостаза и без оказания своевременной медицинской помощи могут быстро привести больных к смерти. В подобных случаях первоочередной задачей является восстановление проходимости желчных протоков.</w:t>
      </w:r>
    </w:p>
    <w:p w:rsidR="0069156E" w:rsidRPr="0069156E" w:rsidRDefault="00DC66A2" w:rsidP="00057552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 w:rsidRPr="004F70E1">
        <w:rPr>
          <w:color w:val="000000"/>
          <w:sz w:val="24"/>
          <w:szCs w:val="24"/>
        </w:rPr>
        <w:br/>
      </w:r>
      <w:r w:rsidR="0069156E" w:rsidRPr="0069156E">
        <w:rPr>
          <w:b/>
          <w:sz w:val="24"/>
          <w:szCs w:val="24"/>
        </w:rPr>
        <w:t>1.2 Цель и задачи дисциплины:</w:t>
      </w:r>
    </w:p>
    <w:p w:rsidR="0069156E" w:rsidRPr="0069156E" w:rsidRDefault="00C33072" w:rsidP="00057552">
      <w:pPr>
        <w:pStyle w:val="2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156E" w:rsidRPr="0069156E">
        <w:rPr>
          <w:sz w:val="24"/>
          <w:szCs w:val="24"/>
        </w:rPr>
        <w:t xml:space="preserve">Целью преподавания дисциплины является подготовка квалифицированного специалиста для </w:t>
      </w:r>
      <w:r>
        <w:rPr>
          <w:sz w:val="24"/>
          <w:szCs w:val="24"/>
        </w:rPr>
        <w:t>освоени</w:t>
      </w:r>
      <w:r w:rsidR="009D4E52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9D4E52">
        <w:rPr>
          <w:color w:val="000000"/>
          <w:sz w:val="24"/>
          <w:szCs w:val="24"/>
        </w:rPr>
        <w:t>ретроградных</w:t>
      </w:r>
      <w:r w:rsidR="009D4E52" w:rsidRPr="009D4E52">
        <w:rPr>
          <w:color w:val="000000"/>
          <w:sz w:val="24"/>
          <w:szCs w:val="24"/>
        </w:rPr>
        <w:t xml:space="preserve"> эндоскопически</w:t>
      </w:r>
      <w:r w:rsidR="009D4E52">
        <w:rPr>
          <w:color w:val="000000"/>
          <w:sz w:val="24"/>
          <w:szCs w:val="24"/>
        </w:rPr>
        <w:t>х методов</w:t>
      </w:r>
      <w:r w:rsidR="009D4E52" w:rsidRPr="009D4E52">
        <w:rPr>
          <w:color w:val="000000"/>
          <w:sz w:val="24"/>
          <w:szCs w:val="24"/>
        </w:rPr>
        <w:t xml:space="preserve"> лечения механической желтухи</w:t>
      </w:r>
      <w:r w:rsidR="0069156E" w:rsidRPr="0069156E">
        <w:rPr>
          <w:sz w:val="24"/>
          <w:szCs w:val="24"/>
        </w:rPr>
        <w:t xml:space="preserve">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69156E" w:rsidRPr="0069156E" w:rsidRDefault="0069156E" w:rsidP="00057552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Задачи:</w:t>
      </w:r>
    </w:p>
    <w:p w:rsidR="0069156E" w:rsidRPr="0069156E" w:rsidRDefault="0069156E" w:rsidP="00057552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     Углубленное освоение теоретических вопросов</w:t>
      </w:r>
      <w:r w:rsidR="009D4E52">
        <w:rPr>
          <w:sz w:val="24"/>
          <w:szCs w:val="24"/>
        </w:rPr>
        <w:t xml:space="preserve"> патогенеза, клиники, диагностики и</w:t>
      </w:r>
      <w:r w:rsidRPr="0069156E">
        <w:rPr>
          <w:sz w:val="24"/>
          <w:szCs w:val="24"/>
        </w:rPr>
        <w:t xml:space="preserve"> </w:t>
      </w:r>
      <w:r w:rsidR="009D4E52" w:rsidRPr="009D4E52">
        <w:rPr>
          <w:color w:val="000000"/>
          <w:sz w:val="24"/>
          <w:szCs w:val="24"/>
        </w:rPr>
        <w:t>лечения механической желтухи</w:t>
      </w:r>
      <w:r w:rsidRPr="0069156E">
        <w:rPr>
          <w:sz w:val="24"/>
          <w:szCs w:val="24"/>
        </w:rPr>
        <w:t>.</w:t>
      </w:r>
      <w:r w:rsidR="0095722A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>Совершенствование практических навыков по</w:t>
      </w:r>
      <w:r w:rsidR="009D4E52">
        <w:rPr>
          <w:sz w:val="24"/>
          <w:szCs w:val="24"/>
        </w:rPr>
        <w:t xml:space="preserve"> миниинвазивных</w:t>
      </w:r>
      <w:r w:rsidRPr="0069156E">
        <w:rPr>
          <w:sz w:val="24"/>
          <w:szCs w:val="24"/>
        </w:rPr>
        <w:t xml:space="preserve"> </w:t>
      </w:r>
      <w:r w:rsidR="009D4E52">
        <w:rPr>
          <w:color w:val="000000"/>
          <w:sz w:val="24"/>
          <w:szCs w:val="24"/>
        </w:rPr>
        <w:t>ретроградных</w:t>
      </w:r>
      <w:r w:rsidR="009D4E52" w:rsidRPr="009D4E52">
        <w:rPr>
          <w:color w:val="000000"/>
          <w:sz w:val="24"/>
          <w:szCs w:val="24"/>
        </w:rPr>
        <w:t xml:space="preserve"> </w:t>
      </w:r>
      <w:r w:rsidR="009D4E52">
        <w:rPr>
          <w:color w:val="000000"/>
          <w:sz w:val="24"/>
          <w:szCs w:val="24"/>
        </w:rPr>
        <w:t>методик дренирования желчных путей</w:t>
      </w:r>
      <w:r w:rsidRPr="0069156E">
        <w:rPr>
          <w:sz w:val="24"/>
          <w:szCs w:val="24"/>
        </w:rPr>
        <w:t xml:space="preserve">. </w:t>
      </w:r>
    </w:p>
    <w:p w:rsidR="0069156E" w:rsidRPr="0069156E" w:rsidRDefault="0069156E" w:rsidP="00057552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9156E">
        <w:rPr>
          <w:b/>
          <w:sz w:val="24"/>
          <w:szCs w:val="24"/>
        </w:rPr>
        <w:t>Слушатель должен знать:</w:t>
      </w:r>
    </w:p>
    <w:p w:rsidR="00752CC6" w:rsidRDefault="0069156E" w:rsidP="00394C98">
      <w:pPr>
        <w:pStyle w:val="23"/>
        <w:numPr>
          <w:ilvl w:val="0"/>
          <w:numId w:val="27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общие вопросы организации </w:t>
      </w:r>
      <w:r w:rsidR="009D4E52">
        <w:rPr>
          <w:sz w:val="24"/>
          <w:szCs w:val="24"/>
        </w:rPr>
        <w:t>хирургической</w:t>
      </w:r>
      <w:r w:rsidRPr="0069156E">
        <w:rPr>
          <w:sz w:val="24"/>
          <w:szCs w:val="24"/>
        </w:rPr>
        <w:t xml:space="preserve"> службы в РК</w:t>
      </w:r>
      <w:r w:rsidR="00752CC6">
        <w:rPr>
          <w:sz w:val="24"/>
          <w:szCs w:val="24"/>
        </w:rPr>
        <w:t xml:space="preserve"> пациентам с синдромом механической желтухи;</w:t>
      </w:r>
    </w:p>
    <w:p w:rsidR="0069156E" w:rsidRDefault="0069156E" w:rsidP="00394C98">
      <w:pPr>
        <w:pStyle w:val="23"/>
        <w:numPr>
          <w:ilvl w:val="0"/>
          <w:numId w:val="27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методы </w:t>
      </w:r>
      <w:r w:rsidR="00752CC6">
        <w:rPr>
          <w:sz w:val="24"/>
          <w:szCs w:val="24"/>
        </w:rPr>
        <w:t>диагностики органов панкреато-билиарной зоны</w:t>
      </w:r>
      <w:r w:rsidRPr="0069156E">
        <w:rPr>
          <w:sz w:val="24"/>
          <w:szCs w:val="24"/>
        </w:rPr>
        <w:t>;</w:t>
      </w:r>
    </w:p>
    <w:p w:rsidR="00C33072" w:rsidRPr="0069156E" w:rsidRDefault="00C33072" w:rsidP="00394C98">
      <w:pPr>
        <w:pStyle w:val="23"/>
        <w:numPr>
          <w:ilvl w:val="0"/>
          <w:numId w:val="27"/>
        </w:numPr>
        <w:spacing w:line="240" w:lineRule="auto"/>
        <w:ind w:left="709" w:hanging="349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</w:t>
      </w:r>
      <w:r w:rsidR="00752CC6">
        <w:rPr>
          <w:sz w:val="24"/>
          <w:szCs w:val="24"/>
        </w:rPr>
        <w:t xml:space="preserve">миниинвазивные </w:t>
      </w:r>
      <w:r w:rsidRPr="0069156E">
        <w:rPr>
          <w:sz w:val="24"/>
          <w:szCs w:val="24"/>
        </w:rPr>
        <w:t xml:space="preserve">методы </w:t>
      </w:r>
      <w:r w:rsidR="00752CC6">
        <w:rPr>
          <w:sz w:val="24"/>
          <w:szCs w:val="24"/>
        </w:rPr>
        <w:t>дренирования желчных протоков</w:t>
      </w:r>
      <w:r w:rsidRPr="0069156E">
        <w:rPr>
          <w:sz w:val="24"/>
          <w:szCs w:val="24"/>
        </w:rPr>
        <w:t>;</w:t>
      </w:r>
    </w:p>
    <w:p w:rsidR="0069156E" w:rsidRDefault="00C33072" w:rsidP="00394C98">
      <w:pPr>
        <w:pStyle w:val="23"/>
        <w:numPr>
          <w:ilvl w:val="0"/>
          <w:numId w:val="27"/>
        </w:numPr>
        <w:spacing w:line="24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паллиативные методы лечения при запущенных опухолевых новообразованиях </w:t>
      </w:r>
      <w:r w:rsidR="00752CC6">
        <w:rPr>
          <w:sz w:val="24"/>
          <w:szCs w:val="24"/>
        </w:rPr>
        <w:t>панкреато-билиарной зоны</w:t>
      </w:r>
      <w:r w:rsidR="0069156E" w:rsidRPr="0069156E">
        <w:rPr>
          <w:sz w:val="24"/>
          <w:szCs w:val="24"/>
        </w:rPr>
        <w:t xml:space="preserve">. </w:t>
      </w:r>
    </w:p>
    <w:p w:rsidR="00DD1A41" w:rsidRPr="0069156E" w:rsidRDefault="00DD1A41" w:rsidP="00DD1A41">
      <w:pPr>
        <w:pStyle w:val="23"/>
        <w:spacing w:line="240" w:lineRule="auto"/>
        <w:ind w:left="709"/>
        <w:jc w:val="both"/>
        <w:rPr>
          <w:sz w:val="24"/>
          <w:szCs w:val="24"/>
        </w:rPr>
      </w:pPr>
    </w:p>
    <w:p w:rsidR="0069156E" w:rsidRPr="0069156E" w:rsidRDefault="0069156E" w:rsidP="00057552">
      <w:pPr>
        <w:pStyle w:val="2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9156E">
        <w:rPr>
          <w:b/>
          <w:sz w:val="24"/>
          <w:szCs w:val="24"/>
        </w:rPr>
        <w:t>Слушатель должен уметь:</w:t>
      </w:r>
    </w:p>
    <w:p w:rsidR="0069156E" w:rsidRPr="0069156E" w:rsidRDefault="0069156E" w:rsidP="00394C98">
      <w:pPr>
        <w:pStyle w:val="23"/>
        <w:numPr>
          <w:ilvl w:val="0"/>
          <w:numId w:val="27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69156E" w:rsidRDefault="0069156E" w:rsidP="00394C98">
      <w:pPr>
        <w:pStyle w:val="23"/>
        <w:numPr>
          <w:ilvl w:val="0"/>
          <w:numId w:val="27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69156E" w:rsidRDefault="0069156E" w:rsidP="00394C98">
      <w:pPr>
        <w:pStyle w:val="23"/>
        <w:numPr>
          <w:ilvl w:val="0"/>
          <w:numId w:val="27"/>
        </w:numPr>
        <w:spacing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проводи</w:t>
      </w:r>
      <w:r w:rsidR="00C33072">
        <w:rPr>
          <w:sz w:val="24"/>
          <w:szCs w:val="24"/>
        </w:rPr>
        <w:t>ть дифференциальную диагностику</w:t>
      </w:r>
      <w:r w:rsidRPr="0069156E">
        <w:rPr>
          <w:sz w:val="24"/>
          <w:szCs w:val="24"/>
        </w:rPr>
        <w:t>, обосновать клинический диагноз, назначать в полном объеме диагностические исследования и лечение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69156E" w:rsidRPr="0069156E" w:rsidRDefault="0069156E" w:rsidP="00394C98">
      <w:pPr>
        <w:pStyle w:val="23"/>
        <w:numPr>
          <w:ilvl w:val="0"/>
          <w:numId w:val="2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69156E">
        <w:rPr>
          <w:sz w:val="24"/>
          <w:szCs w:val="24"/>
        </w:rPr>
        <w:t>проводить анализ научной литературы, изучать современные методы диагностических и лечебных манипуляции, составлять клинический материал по научным тематикам.</w:t>
      </w:r>
    </w:p>
    <w:p w:rsidR="0069156E" w:rsidRDefault="0069156E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52CC6" w:rsidRDefault="00752CC6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72B7A" w:rsidRDefault="00772B7A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72B7A" w:rsidRDefault="00772B7A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772B7A" w:rsidRDefault="00772B7A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F95059" w:rsidRDefault="00F95059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37B28" w:rsidRDefault="00772B7A" w:rsidP="0095722A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E37B28" w:rsidRPr="00E37B28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752CC6" w:rsidRPr="00752CC6" w:rsidRDefault="00752CC6" w:rsidP="00752CC6">
      <w:pPr>
        <w:jc w:val="center"/>
        <w:rPr>
          <w:color w:val="000000"/>
          <w:sz w:val="24"/>
          <w:szCs w:val="24"/>
        </w:rPr>
      </w:pPr>
      <w:r w:rsidRPr="00752CC6">
        <w:rPr>
          <w:color w:val="000000"/>
          <w:sz w:val="24"/>
          <w:szCs w:val="24"/>
        </w:rPr>
        <w:t>«Ретроградные эндоскопические методы лечения механической желтухи»</w:t>
      </w:r>
    </w:p>
    <w:p w:rsidR="001D5679" w:rsidRPr="0095722A" w:rsidRDefault="001D5679" w:rsidP="009067B7">
      <w:pPr>
        <w:pStyle w:val="23"/>
        <w:spacing w:after="0" w:line="240" w:lineRule="auto"/>
        <w:ind w:left="1429"/>
        <w:jc w:val="center"/>
        <w:rPr>
          <w:b/>
          <w:sz w:val="22"/>
          <w:szCs w:val="24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87"/>
        <w:gridCol w:w="1134"/>
        <w:gridCol w:w="992"/>
        <w:gridCol w:w="814"/>
        <w:gridCol w:w="1239"/>
      </w:tblGrid>
      <w:tr w:rsidR="00D55031" w:rsidRPr="00E741C7" w:rsidTr="008E06A5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69156E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69156E">
            <w:pPr>
              <w:jc w:val="both"/>
              <w:rPr>
                <w:b/>
                <w:sz w:val="24"/>
                <w:szCs w:val="24"/>
              </w:rPr>
            </w:pPr>
          </w:p>
          <w:p w:rsidR="00D55031" w:rsidRPr="00E741C7" w:rsidRDefault="00D55031" w:rsidP="006915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3221B" w:rsidRDefault="00D55031" w:rsidP="0069156E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55031" w:rsidRPr="00E741C7" w:rsidTr="0069156E">
        <w:trPr>
          <w:cantSplit/>
          <w:trHeight w:val="60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1D5679" w:rsidRPr="00E741C7" w:rsidTr="009E652B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331456" w:rsidRDefault="001D5679" w:rsidP="00342343">
            <w:pPr>
              <w:rPr>
                <w:bCs/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</w:t>
            </w:r>
            <w:r>
              <w:rPr>
                <w:sz w:val="24"/>
                <w:szCs w:val="24"/>
                <w:lang w:val="kk-KZ"/>
              </w:rPr>
              <w:t xml:space="preserve"> на органах панкреато-билиарной зоны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1733FD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1D5679" w:rsidRPr="00E741C7" w:rsidTr="009E652B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BE34C2" w:rsidRDefault="001D5679" w:rsidP="001D5679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10,2</w:t>
            </w:r>
          </w:p>
        </w:tc>
      </w:tr>
      <w:tr w:rsidR="001D5679" w:rsidRPr="00E741C7" w:rsidTr="009E652B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BE34C2" w:rsidRDefault="001D5679" w:rsidP="00C3307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1733FD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1D5679" w:rsidRPr="00E741C7" w:rsidTr="009E652B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BE34C2" w:rsidRDefault="001D5679" w:rsidP="00000DB5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10,2</w:t>
            </w:r>
          </w:p>
        </w:tc>
      </w:tr>
      <w:tr w:rsidR="001D5679" w:rsidRPr="00E741C7" w:rsidTr="009E652B">
        <w:trPr>
          <w:cantSplit/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Default="001D5679" w:rsidP="00000DB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Осложнение и пути профилактики при ретроградных вмешательствах.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</w:pPr>
            <w:r w:rsidRPr="00B5524A">
              <w:rPr>
                <w:sz w:val="24"/>
                <w:szCs w:val="24"/>
                <w:lang w:val="kk-KZ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11,2</w:t>
            </w:r>
          </w:p>
        </w:tc>
      </w:tr>
      <w:tr w:rsidR="001D5679" w:rsidRPr="00E741C7" w:rsidTr="009E652B">
        <w:trPr>
          <w:cantSplit/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9" w:rsidRPr="00E741C7" w:rsidRDefault="001D5679" w:rsidP="0069156E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DA6F00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A6F00">
              <w:rPr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79" w:rsidRPr="00E741C7" w:rsidRDefault="001D5679" w:rsidP="00E22CD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</w:tr>
    </w:tbl>
    <w:p w:rsidR="005961F7" w:rsidRDefault="005961F7" w:rsidP="0069156E">
      <w:pPr>
        <w:jc w:val="center"/>
        <w:rPr>
          <w:sz w:val="24"/>
          <w:szCs w:val="24"/>
        </w:rPr>
      </w:pPr>
    </w:p>
    <w:p w:rsidR="009067B7" w:rsidRPr="00FF1EBA" w:rsidRDefault="003A6E6E" w:rsidP="00FF1EBA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D5679" w:rsidRPr="002028F0" w:rsidTr="00000DB5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1D5679" w:rsidRPr="002028F0" w:rsidRDefault="001D5679" w:rsidP="0069156E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D5679" w:rsidRPr="00331456" w:rsidRDefault="001D5679" w:rsidP="00E22CD7">
            <w:pPr>
              <w:rPr>
                <w:bCs/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</w:t>
            </w:r>
            <w:r>
              <w:rPr>
                <w:sz w:val="24"/>
                <w:szCs w:val="24"/>
                <w:lang w:val="kk-KZ"/>
              </w:rPr>
              <w:t xml:space="preserve"> на органах панкреато-билиарной зоны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1D5679" w:rsidRDefault="001D5679" w:rsidP="0000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оснащение рентгенэндоскопических кабинетов. Особенности проведения ретроградных вмешательств. Виды миниинвазивных методик дренирования билиарного тракта (ЧЧХС, РХПГ, Рандеву).  </w:t>
            </w:r>
          </w:p>
          <w:p w:rsidR="00772B7A" w:rsidRPr="00DA13C3" w:rsidRDefault="00772B7A" w:rsidP="00000DB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1D5679" w:rsidRPr="002028F0" w:rsidRDefault="001D5679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5679" w:rsidRPr="002028F0" w:rsidTr="00000DB5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1D5679" w:rsidRPr="002028F0" w:rsidRDefault="001D5679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1D5679" w:rsidRPr="00BE34C2" w:rsidRDefault="001D5679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394" w:type="dxa"/>
            <w:shd w:val="clear" w:color="000000" w:fill="FFFFFF"/>
          </w:tcPr>
          <w:p w:rsidR="001D5679" w:rsidRDefault="001D5679" w:rsidP="00C9622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Лабораторно-диагностические мероприятия пациентов с СМЖ. Показания и противопоказания к ЭРХПГ</w:t>
            </w:r>
            <w:r w:rsidR="00C9622F">
              <w:rPr>
                <w:sz w:val="24"/>
                <w:szCs w:val="24"/>
                <w:lang w:val="kk-KZ"/>
              </w:rPr>
              <w:t xml:space="preserve"> и ЭПСТ</w:t>
            </w:r>
            <w:r>
              <w:rPr>
                <w:sz w:val="24"/>
                <w:szCs w:val="24"/>
                <w:lang w:val="kk-KZ"/>
              </w:rPr>
              <w:t xml:space="preserve">. Холедохолитиаз. СТОХ. </w:t>
            </w:r>
            <w:r w:rsidR="00C9622F">
              <w:rPr>
                <w:sz w:val="24"/>
                <w:szCs w:val="24"/>
                <w:lang w:val="kk-KZ"/>
              </w:rPr>
              <w:t xml:space="preserve">Доброкачественные рубцовые стриктуры холедоха. Эндопротезирование желчных протоков. </w:t>
            </w:r>
          </w:p>
          <w:p w:rsidR="00772B7A" w:rsidRPr="00DA13C3" w:rsidRDefault="00772B7A" w:rsidP="00C9622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1D5679" w:rsidRDefault="001D5679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2028F0" w:rsidTr="00000DB5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C9622F" w:rsidRPr="002028F0" w:rsidRDefault="00C9622F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C9622F" w:rsidRPr="00BE34C2" w:rsidRDefault="00C9622F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тракта.</w:t>
            </w:r>
          </w:p>
        </w:tc>
        <w:tc>
          <w:tcPr>
            <w:tcW w:w="4394" w:type="dxa"/>
            <w:shd w:val="clear" w:color="000000" w:fill="FFFFFF"/>
          </w:tcPr>
          <w:p w:rsidR="00C9622F" w:rsidRPr="00DA13C3" w:rsidRDefault="00C9622F" w:rsidP="00C9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r>
              <w:rPr>
                <w:sz w:val="24"/>
                <w:szCs w:val="24"/>
                <w:lang w:val="en-US"/>
              </w:rPr>
              <w:t>Bissmuth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C9622F" w:rsidRPr="002028F0" w:rsidRDefault="00C9622F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2028F0" w:rsidTr="00000DB5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C9622F" w:rsidRPr="002028F0" w:rsidRDefault="00C9622F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C9622F" w:rsidRPr="00BE34C2" w:rsidRDefault="00C9622F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394" w:type="dxa"/>
            <w:shd w:val="clear" w:color="000000" w:fill="FFFFFF"/>
          </w:tcPr>
          <w:p w:rsidR="00C9622F" w:rsidRPr="00173E27" w:rsidRDefault="00C9622F" w:rsidP="0000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C9622F" w:rsidRPr="002028F0" w:rsidRDefault="00C9622F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C9622F" w:rsidRDefault="00C9622F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C9622F" w:rsidRDefault="00C9622F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Осложнение и пути профилактики при ретроградных вмешательствах. </w:t>
            </w:r>
          </w:p>
        </w:tc>
        <w:tc>
          <w:tcPr>
            <w:tcW w:w="4394" w:type="dxa"/>
            <w:shd w:val="clear" w:color="000000" w:fill="FFFFFF"/>
          </w:tcPr>
          <w:p w:rsidR="00C9622F" w:rsidRPr="00DA13C3" w:rsidRDefault="00C9622F" w:rsidP="0000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ретротроградных вмешательств. Острый пост-ЭРГПХ панкреатит. Кровотечение. Перфорация ДПК. Миграция и окклюзия стента.  </w:t>
            </w:r>
          </w:p>
        </w:tc>
        <w:tc>
          <w:tcPr>
            <w:tcW w:w="1119" w:type="dxa"/>
            <w:shd w:val="clear" w:color="000000" w:fill="FFFFFF"/>
          </w:tcPr>
          <w:p w:rsidR="00C9622F" w:rsidRDefault="00C9622F" w:rsidP="0069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C9622F" w:rsidRDefault="00C9622F" w:rsidP="006915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C9622F" w:rsidRPr="00EB5BF2" w:rsidRDefault="00C9622F" w:rsidP="0069156E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C9622F" w:rsidRPr="00803418" w:rsidRDefault="00C9622F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067B7" w:rsidRDefault="009067B7" w:rsidP="0069156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67B7" w:rsidRPr="00FF1EBA" w:rsidRDefault="00AB5065" w:rsidP="009067B7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9622F" w:rsidRPr="007342DE" w:rsidTr="00DF3984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C9622F" w:rsidRPr="007342DE" w:rsidRDefault="00C9622F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9622F" w:rsidRPr="00BE34C2" w:rsidRDefault="00C9622F" w:rsidP="008C77E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C9622F" w:rsidRPr="00DA13C3" w:rsidRDefault="00C9622F" w:rsidP="008C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Трудности при канюляции холедоха. Проксимальные и дистальные блоки холедоха опухолевого генеза. Эндопротезирование желчных протоков. Выбор вида эндопротеза. Классификация по </w:t>
            </w:r>
            <w:r>
              <w:rPr>
                <w:sz w:val="24"/>
                <w:szCs w:val="24"/>
                <w:lang w:val="en-US"/>
              </w:rPr>
              <w:t>Bissmuth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Миграция и обтурация стента.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C9622F" w:rsidRPr="007342DE" w:rsidRDefault="00C9622F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7342DE" w:rsidTr="008F1CB1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C9622F" w:rsidRPr="007342DE" w:rsidRDefault="00C9622F" w:rsidP="0054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C9622F" w:rsidRDefault="00C9622F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Осложнение и пути профилактики при ретроградных вмешательствах.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C9622F" w:rsidRPr="00DA13C3" w:rsidRDefault="00C9622F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ретротроградных вмешательств. Острый пост-ЭРГПХ панкреатит. Кровотечение. Перфорация ДПК. Миграция и окклюзия стента.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C9622F" w:rsidRDefault="00C9622F" w:rsidP="0054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22F" w:rsidRPr="007342DE" w:rsidTr="0069156E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C9622F" w:rsidRDefault="00C9622F" w:rsidP="0054612F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9622F" w:rsidRPr="00EB5BF2" w:rsidRDefault="00C9622F" w:rsidP="0069156E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C9622F" w:rsidRPr="00803418" w:rsidRDefault="00C9622F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067B7" w:rsidRDefault="009067B7" w:rsidP="0069156E">
      <w:pPr>
        <w:rPr>
          <w:b/>
          <w:sz w:val="24"/>
          <w:szCs w:val="24"/>
        </w:rPr>
      </w:pPr>
    </w:p>
    <w:p w:rsidR="0073691E" w:rsidRPr="00FF1EBA" w:rsidRDefault="00A55DDB" w:rsidP="0073691E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63439B" w:rsidRPr="00171590" w:rsidTr="0069156E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A139B" w:rsidRPr="00171590" w:rsidTr="00F03781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FA139B" w:rsidRPr="00171590" w:rsidRDefault="00FA139B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FA139B" w:rsidRPr="00331456" w:rsidRDefault="00FA139B" w:rsidP="00E22CD7">
            <w:pPr>
              <w:rPr>
                <w:bCs/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</w:t>
            </w:r>
            <w:r>
              <w:rPr>
                <w:sz w:val="24"/>
                <w:szCs w:val="24"/>
                <w:lang w:val="kk-KZ"/>
              </w:rPr>
              <w:t xml:space="preserve"> на органах панкреато-билиарной зоны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428" w:type="dxa"/>
            <w:shd w:val="clear" w:color="000000" w:fill="FFFFFF"/>
          </w:tcPr>
          <w:p w:rsidR="00FA139B" w:rsidRPr="00DA13C3" w:rsidRDefault="00FA139B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оснащение рентгенэндоскопических кабинетов. Особенности проведения ретроградных вмешательств. Виды миниинвазивных методик дренирования билиарного тракта (ЧЧХС, РХПГ, Рандеву).  </w:t>
            </w:r>
          </w:p>
        </w:tc>
        <w:tc>
          <w:tcPr>
            <w:tcW w:w="1119" w:type="dxa"/>
            <w:shd w:val="clear" w:color="000000" w:fill="FFFFFF"/>
          </w:tcPr>
          <w:p w:rsidR="00FA139B" w:rsidRPr="00E741C7" w:rsidRDefault="00FA139B" w:rsidP="00E22C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5,6</w:t>
            </w:r>
          </w:p>
        </w:tc>
      </w:tr>
      <w:tr w:rsidR="00FA139B" w:rsidRPr="00171590" w:rsidTr="00F03781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FA139B" w:rsidRPr="00171590" w:rsidRDefault="00FA139B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428" w:type="dxa"/>
            <w:shd w:val="clear" w:color="000000" w:fill="FFFFFF"/>
          </w:tcPr>
          <w:p w:rsidR="00FA139B" w:rsidRPr="00DA13C3" w:rsidRDefault="00FA139B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 и ЭПСТ. Холедохолитиаз. СТОХ. Доброкачественные рубцовые стриктуры холедоха. Эндопротезирование желчных протоков. </w:t>
            </w:r>
          </w:p>
        </w:tc>
        <w:tc>
          <w:tcPr>
            <w:tcW w:w="1119" w:type="dxa"/>
            <w:shd w:val="clear" w:color="000000" w:fill="FFFFFF"/>
          </w:tcPr>
          <w:p w:rsidR="00FA139B" w:rsidRDefault="00FA139B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FA139B" w:rsidRPr="00171590" w:rsidTr="00F03781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FA139B" w:rsidRPr="00171590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тракта.</w:t>
            </w:r>
          </w:p>
        </w:tc>
        <w:tc>
          <w:tcPr>
            <w:tcW w:w="4428" w:type="dxa"/>
            <w:shd w:val="clear" w:color="000000" w:fill="FFFFFF"/>
          </w:tcPr>
          <w:p w:rsidR="00FA139B" w:rsidRPr="00DA13C3" w:rsidRDefault="00FA139B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Лабораторно-диагностические мероприятия пациентов с СМЖ. Показания и противопоказания к ЭРХПГ. Проксимальные и дистальные блоки холедоха опухолевого генеза.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Эндопротезирование желчных протоков. Выбор вида эндопротеза. Классификация по </w:t>
            </w:r>
            <w:r>
              <w:rPr>
                <w:sz w:val="24"/>
                <w:szCs w:val="24"/>
                <w:lang w:val="en-US"/>
              </w:rPr>
              <w:t>Bissmuth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FA139B" w:rsidRDefault="00FA139B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lastRenderedPageBreak/>
              <w:t>5,6</w:t>
            </w:r>
          </w:p>
        </w:tc>
      </w:tr>
      <w:tr w:rsidR="00FA139B" w:rsidRPr="00171590" w:rsidTr="00F03781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FA139B" w:rsidRPr="00171590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428" w:type="dxa"/>
            <w:shd w:val="clear" w:color="000000" w:fill="FFFFFF"/>
          </w:tcPr>
          <w:p w:rsidR="00FA139B" w:rsidRPr="00173E27" w:rsidRDefault="00FA139B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Особенности ведение пациентов после ретроградных вмешательств на билиарном тракте</w:t>
            </w:r>
            <w:r>
              <w:rPr>
                <w:sz w:val="24"/>
                <w:szCs w:val="24"/>
              </w:rPr>
              <w:t xml:space="preserve">. Лабораторно-инструментальный мониторинг пациента.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FA139B" w:rsidRDefault="00FA139B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FA139B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FA139B" w:rsidRPr="00171590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FA139B" w:rsidRDefault="00FA139B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Осложнение и пути профилактики при ретроградных вмешательствах. </w:t>
            </w:r>
          </w:p>
        </w:tc>
        <w:tc>
          <w:tcPr>
            <w:tcW w:w="4428" w:type="dxa"/>
            <w:shd w:val="clear" w:color="000000" w:fill="FFFFFF"/>
          </w:tcPr>
          <w:p w:rsidR="00FA139B" w:rsidRPr="00DA13C3" w:rsidRDefault="00FA139B" w:rsidP="00E2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осложнений после ретротроградных вмешательств. Острый пост-ЭРГПХ панкреатит. Кровотечение. Перфорация ДПК. Миграция и окклюзия стента.  </w:t>
            </w:r>
          </w:p>
        </w:tc>
        <w:tc>
          <w:tcPr>
            <w:tcW w:w="1119" w:type="dxa"/>
            <w:shd w:val="clear" w:color="000000" w:fill="FFFFFF"/>
          </w:tcPr>
          <w:p w:rsidR="00FA139B" w:rsidRDefault="00FA139B" w:rsidP="00E22CD7">
            <w:pPr>
              <w:jc w:val="center"/>
            </w:pPr>
            <w:r w:rsidRPr="00F66D17">
              <w:rPr>
                <w:sz w:val="24"/>
                <w:szCs w:val="24"/>
                <w:lang w:val="kk-KZ"/>
              </w:rPr>
              <w:t>5,6</w:t>
            </w:r>
          </w:p>
        </w:tc>
      </w:tr>
      <w:tr w:rsidR="00FA139B" w:rsidRPr="00171590" w:rsidTr="0069156E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FA139B" w:rsidRPr="00964BF5" w:rsidRDefault="00FA139B" w:rsidP="0069156E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FA139B" w:rsidRPr="00DA6F00" w:rsidRDefault="00FA139B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9067B7" w:rsidRPr="008C3659" w:rsidRDefault="009067B7" w:rsidP="008C3659">
      <w:pPr>
        <w:jc w:val="both"/>
        <w:rPr>
          <w:sz w:val="24"/>
          <w:szCs w:val="24"/>
        </w:rPr>
      </w:pPr>
    </w:p>
    <w:p w:rsidR="0073691E" w:rsidRPr="008C3659" w:rsidRDefault="00A55DDB" w:rsidP="008C3659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Виды СРС</w:t>
            </w:r>
          </w:p>
        </w:tc>
        <w:tc>
          <w:tcPr>
            <w:tcW w:w="1134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A139B" w:rsidRPr="00797AC7" w:rsidTr="00D42D43">
        <w:tc>
          <w:tcPr>
            <w:tcW w:w="648" w:type="dxa"/>
          </w:tcPr>
          <w:p w:rsidR="00FA139B" w:rsidRPr="00797AC7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FA139B" w:rsidRPr="00331456" w:rsidRDefault="00FA139B" w:rsidP="00E22CD7">
            <w:pPr>
              <w:rPr>
                <w:bCs/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</w:t>
            </w:r>
            <w:r>
              <w:rPr>
                <w:sz w:val="24"/>
                <w:szCs w:val="24"/>
                <w:lang w:val="kk-KZ"/>
              </w:rPr>
              <w:t xml:space="preserve"> на органах панкреато-билиарной зоны</w:t>
            </w:r>
            <w:r w:rsidRPr="00BE34C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003" w:type="dxa"/>
          </w:tcPr>
          <w:p w:rsidR="00FA139B" w:rsidRPr="00797AC7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A139B" w:rsidRPr="00E741C7" w:rsidRDefault="004950C7" w:rsidP="0069156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3,6</w:t>
            </w:r>
          </w:p>
        </w:tc>
      </w:tr>
      <w:tr w:rsidR="00FA139B" w:rsidRPr="00797AC7" w:rsidTr="00D42D43">
        <w:tc>
          <w:tcPr>
            <w:tcW w:w="648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Доброкачественные стриктуры панкреато-билиарного тракта.</w:t>
            </w:r>
          </w:p>
        </w:tc>
        <w:tc>
          <w:tcPr>
            <w:tcW w:w="4003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A139B" w:rsidRDefault="004950C7" w:rsidP="0069156E">
            <w:pPr>
              <w:jc w:val="center"/>
            </w:pPr>
            <w:r>
              <w:t>3,6</w:t>
            </w:r>
          </w:p>
        </w:tc>
      </w:tr>
      <w:tr w:rsidR="00FA139B" w:rsidRPr="00797AC7" w:rsidTr="004950C7">
        <w:tc>
          <w:tcPr>
            <w:tcW w:w="648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стриктуры </w:t>
            </w:r>
            <w:r>
              <w:rPr>
                <w:sz w:val="24"/>
                <w:szCs w:val="24"/>
                <w:lang w:val="kk-KZ"/>
              </w:rPr>
              <w:t>панкреато-билиарного тракта.</w:t>
            </w:r>
          </w:p>
        </w:tc>
        <w:tc>
          <w:tcPr>
            <w:tcW w:w="4003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A139B" w:rsidRDefault="004950C7" w:rsidP="004950C7">
            <w:pPr>
              <w:jc w:val="center"/>
            </w:pPr>
            <w:r>
              <w:t>3,6</w:t>
            </w:r>
          </w:p>
        </w:tc>
      </w:tr>
      <w:tr w:rsidR="00FA139B" w:rsidRPr="00797AC7" w:rsidTr="00D42D43">
        <w:tc>
          <w:tcPr>
            <w:tcW w:w="648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FA139B" w:rsidRPr="00BE34C2" w:rsidRDefault="00FA139B" w:rsidP="00E22CD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ретроградных вмешательств.</w:t>
            </w:r>
          </w:p>
        </w:tc>
        <w:tc>
          <w:tcPr>
            <w:tcW w:w="4003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A139B" w:rsidRDefault="004950C7" w:rsidP="0069156E">
            <w:pPr>
              <w:jc w:val="center"/>
            </w:pPr>
            <w:r>
              <w:t>3,6</w:t>
            </w:r>
          </w:p>
        </w:tc>
      </w:tr>
      <w:tr w:rsidR="00FA139B" w:rsidRPr="00797AC7" w:rsidTr="00D11DD9">
        <w:tc>
          <w:tcPr>
            <w:tcW w:w="648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FA139B" w:rsidRDefault="00FA139B" w:rsidP="00E22CD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Осложнение и пути профилактики при ретроградных вмешательствах. </w:t>
            </w:r>
          </w:p>
        </w:tc>
        <w:tc>
          <w:tcPr>
            <w:tcW w:w="4003" w:type="dxa"/>
          </w:tcPr>
          <w:p w:rsidR="00FA139B" w:rsidRDefault="00FA139B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A139B" w:rsidRDefault="004950C7" w:rsidP="0069156E">
            <w:pPr>
              <w:jc w:val="center"/>
            </w:pPr>
            <w:r>
              <w:t>3,6</w:t>
            </w:r>
          </w:p>
        </w:tc>
      </w:tr>
      <w:tr w:rsidR="00825F72" w:rsidRPr="00797AC7" w:rsidTr="00D11DD9">
        <w:tc>
          <w:tcPr>
            <w:tcW w:w="8222" w:type="dxa"/>
            <w:gridSpan w:val="3"/>
          </w:tcPr>
          <w:p w:rsidR="00825F72" w:rsidRPr="00797AC7" w:rsidRDefault="00825F72" w:rsidP="0069156E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25F72" w:rsidRPr="00797AC7" w:rsidRDefault="00825F72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69156E">
      <w:pPr>
        <w:rPr>
          <w:b/>
          <w:sz w:val="24"/>
          <w:szCs w:val="24"/>
        </w:rPr>
      </w:pPr>
      <w:bookmarkStart w:id="0" w:name="_GoBack"/>
      <w:bookmarkEnd w:id="0"/>
    </w:p>
    <w:p w:rsidR="00772B7A" w:rsidRDefault="00772B7A" w:rsidP="0069156E">
      <w:pPr>
        <w:rPr>
          <w:b/>
          <w:sz w:val="24"/>
          <w:szCs w:val="24"/>
        </w:rPr>
      </w:pPr>
    </w:p>
    <w:p w:rsidR="00A55DDB" w:rsidRPr="00BF0C50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6915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6915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Default="00A55DDB" w:rsidP="0069156E">
      <w:pPr>
        <w:jc w:val="center"/>
        <w:rPr>
          <w:b/>
          <w:sz w:val="24"/>
          <w:szCs w:val="24"/>
        </w:rPr>
      </w:pPr>
    </w:p>
    <w:p w:rsidR="0094465B" w:rsidRDefault="0094465B" w:rsidP="0069156E">
      <w:pPr>
        <w:jc w:val="center"/>
        <w:rPr>
          <w:b/>
          <w:sz w:val="24"/>
          <w:szCs w:val="24"/>
        </w:rPr>
      </w:pPr>
    </w:p>
    <w:p w:rsidR="0094465B" w:rsidRDefault="0094465B" w:rsidP="0069156E">
      <w:pPr>
        <w:jc w:val="center"/>
        <w:rPr>
          <w:b/>
          <w:sz w:val="24"/>
          <w:szCs w:val="24"/>
        </w:rPr>
      </w:pPr>
    </w:p>
    <w:p w:rsidR="0094465B" w:rsidRPr="00797AC7" w:rsidRDefault="0094465B" w:rsidP="0069156E">
      <w:pPr>
        <w:jc w:val="center"/>
        <w:rPr>
          <w:b/>
          <w:sz w:val="24"/>
          <w:szCs w:val="24"/>
        </w:rPr>
      </w:pPr>
    </w:p>
    <w:p w:rsidR="00A55DDB" w:rsidRPr="00797AC7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94465B" w:rsidRDefault="00A55DDB" w:rsidP="0069156E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</w:t>
      </w:r>
      <w:r w:rsidRPr="0094465B">
        <w:rPr>
          <w:b/>
          <w:sz w:val="24"/>
          <w:szCs w:val="24"/>
        </w:rPr>
        <w:t xml:space="preserve"> </w:t>
      </w:r>
      <w:r w:rsidRPr="00613C17">
        <w:rPr>
          <w:b/>
          <w:sz w:val="24"/>
          <w:szCs w:val="24"/>
        </w:rPr>
        <w:t>литература</w:t>
      </w:r>
      <w:r w:rsidRPr="0094465B">
        <w:rPr>
          <w:b/>
          <w:sz w:val="24"/>
          <w:szCs w:val="24"/>
        </w:rPr>
        <w:t>:</w:t>
      </w:r>
    </w:p>
    <w:p w:rsidR="0069156E" w:rsidRPr="0094465B" w:rsidRDefault="003D622C" w:rsidP="0094465B">
      <w:pPr>
        <w:pStyle w:val="af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4465B">
        <w:rPr>
          <w:rFonts w:ascii="Times New Roman" w:hAnsi="Times New Roman"/>
          <w:sz w:val="24"/>
          <w:szCs w:val="24"/>
          <w:lang w:val="en-US"/>
        </w:rPr>
        <w:t xml:space="preserve">«New Challenges in Gastrointestinal Endoscopy». </w:t>
      </w:r>
      <w:r w:rsidR="0069156E" w:rsidRPr="0094465B">
        <w:rPr>
          <w:rFonts w:ascii="Times New Roman" w:hAnsi="Times New Roman"/>
          <w:sz w:val="24"/>
          <w:szCs w:val="24"/>
          <w:lang w:val="en-US"/>
        </w:rPr>
        <w:t>Hirohumi N., M.D. , Hisao T., M.D. , Masatsugu N., M.D. , Kenjiro Y., M.D. Springer Tokyo Berlin Heidelberg New York e-ISBN 978-4-431-78889-8</w:t>
      </w:r>
    </w:p>
    <w:p w:rsidR="0069156E" w:rsidRPr="0094465B" w:rsidRDefault="00FA139B" w:rsidP="0094465B">
      <w:pPr>
        <w:pStyle w:val="af6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94465B">
        <w:rPr>
          <w:rFonts w:ascii="Times New Roman" w:hAnsi="Times New Roman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Practical Gastroenterology and Hepatology: Liver and Biliary Disease», 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Nicholas J. T., Keith D. L., Hugo E. V.,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 2010 by Blackwell Publishing Ltd. ISBN: 9781405182751</w:t>
      </w:r>
    </w:p>
    <w:p w:rsidR="00FA139B" w:rsidRPr="0094465B" w:rsidRDefault="003D622C" w:rsidP="0094465B">
      <w:pPr>
        <w:pStyle w:val="af6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sz w:val="24"/>
          <w:szCs w:val="24"/>
        </w:rPr>
        <w:t>А</w:t>
      </w:r>
      <w:r w:rsidR="00FA139B" w:rsidRPr="0094465B">
        <w:rPr>
          <w:rFonts w:ascii="Times New Roman" w:eastAsiaTheme="minorHAnsi" w:hAnsi="Times New Roman"/>
          <w:sz w:val="24"/>
          <w:szCs w:val="24"/>
          <w:lang w:val="en-US"/>
        </w:rPr>
        <w:t>bc of liver, pancreas and gall bladder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>»</w:t>
      </w:r>
      <w:r w:rsidR="00FA139B" w:rsidRPr="0094465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="00FA139B" w:rsidRPr="0094465B">
        <w:rPr>
          <w:rFonts w:ascii="Times New Roman" w:eastAsiaTheme="minorHAnsi" w:hAnsi="Times New Roman"/>
          <w:sz w:val="24"/>
          <w:szCs w:val="24"/>
          <w:lang w:val="en-US"/>
        </w:rPr>
        <w:t>eckingham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 xml:space="preserve"> I.J.</w:t>
      </w:r>
      <w:r w:rsidR="00FA139B" w:rsidRPr="0094465B">
        <w:rPr>
          <w:rFonts w:ascii="Times New Roman" w:eastAsiaTheme="minorHAnsi" w:hAnsi="Times New Roman"/>
          <w:sz w:val="24"/>
          <w:szCs w:val="24"/>
          <w:lang w:val="en-US"/>
        </w:rPr>
        <w:t>, © bmj books 2001</w:t>
      </w:r>
    </w:p>
    <w:p w:rsidR="00FA139B" w:rsidRPr="0094465B" w:rsidRDefault="00FA139B" w:rsidP="0094465B">
      <w:pPr>
        <w:pStyle w:val="af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BMJ Books is an imprint of the BMJ Publishing Group, ISBN 0 7279 1531 2</w:t>
      </w:r>
      <w:r w:rsidR="0069156E" w:rsidRPr="0094465B">
        <w:rPr>
          <w:rFonts w:ascii="Times New Roman" w:hAnsi="Times New Roman"/>
          <w:sz w:val="24"/>
          <w:szCs w:val="24"/>
          <w:lang w:val="en-US"/>
        </w:rPr>
        <w:tab/>
      </w:r>
    </w:p>
    <w:p w:rsidR="00FA139B" w:rsidRPr="0094465B" w:rsidRDefault="003D622C" w:rsidP="0094465B">
      <w:pPr>
        <w:pStyle w:val="af6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94465B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Pr="0094465B">
        <w:rPr>
          <w:rFonts w:ascii="Times New Roman" w:eastAsia="TimesNewRomanPSMT" w:hAnsi="Times New Roman"/>
          <w:sz w:val="24"/>
          <w:szCs w:val="24"/>
        </w:rPr>
        <w:t>Оперативная дуоденоскопия: рентгеноэндобилиарные вмешательства,</w:t>
      </w:r>
      <w:r w:rsidR="0094465B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4465B">
        <w:rPr>
          <w:rFonts w:ascii="Times New Roman" w:eastAsia="TimesNewRomanPSMT" w:hAnsi="Times New Roman"/>
          <w:sz w:val="24"/>
          <w:szCs w:val="24"/>
        </w:rPr>
        <w:t xml:space="preserve">литоэкстракция, эндопротезирование» </w:t>
      </w:r>
      <w:r w:rsidRPr="0094465B">
        <w:rPr>
          <w:rFonts w:ascii="Times New Roman" w:eastAsiaTheme="minorHAnsi" w:hAnsi="Times New Roman"/>
          <w:bCs/>
          <w:sz w:val="24"/>
          <w:szCs w:val="24"/>
        </w:rPr>
        <w:t>Федоров А.Г., Давыдова С.В.</w:t>
      </w:r>
      <w:r w:rsidRPr="0094465B">
        <w:rPr>
          <w:rFonts w:ascii="Times New Roman" w:eastAsia="TimesNewRomanPSMT" w:hAnsi="Times New Roman"/>
          <w:sz w:val="24"/>
          <w:szCs w:val="24"/>
        </w:rPr>
        <w:t>: Учеб. пособие. – М.: РУДН, 2008. – 145 с.</w:t>
      </w:r>
      <w:r w:rsidR="0069156E" w:rsidRPr="0094465B">
        <w:rPr>
          <w:rFonts w:ascii="Times New Roman" w:hAnsi="Times New Roman"/>
          <w:sz w:val="24"/>
          <w:szCs w:val="24"/>
        </w:rPr>
        <w:tab/>
      </w:r>
    </w:p>
    <w:p w:rsidR="00FA139B" w:rsidRPr="0094465B" w:rsidRDefault="003D622C" w:rsidP="0094465B">
      <w:pPr>
        <w:pStyle w:val="af6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</w:pP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А</w:t>
      </w:r>
      <w:r w:rsidRPr="0094465B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tlas of Upper Gastrointestinal and Hepato-Pancreato-Biliary Surgery». Pierre-Alain Clavien, Michael G. Sarr, Yuman Fong. </w:t>
      </w:r>
      <w:r w:rsidRPr="0094465B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Springer Berlin Heidelberg New York ISBN 978-3-540-20004-8</w:t>
      </w:r>
      <w:r w:rsidR="0069156E" w:rsidRPr="0094465B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</w:p>
    <w:p w:rsidR="00A55DDB" w:rsidRPr="00E16C38" w:rsidRDefault="00A55DDB" w:rsidP="0069156E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</w:t>
      </w:r>
      <w:r w:rsidRPr="00E16C38">
        <w:rPr>
          <w:sz w:val="24"/>
        </w:rPr>
        <w:t xml:space="preserve"> </w:t>
      </w:r>
      <w:r w:rsidRPr="00236EC2">
        <w:rPr>
          <w:sz w:val="24"/>
        </w:rPr>
        <w:t>литература</w:t>
      </w:r>
      <w:r w:rsidRPr="00E16C38">
        <w:rPr>
          <w:sz w:val="24"/>
        </w:rPr>
        <w:t>:</w:t>
      </w:r>
    </w:p>
    <w:p w:rsidR="0069156E" w:rsidRPr="0094465B" w:rsidRDefault="003D622C" w:rsidP="0094465B">
      <w:pPr>
        <w:pStyle w:val="af6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94465B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94465B">
        <w:rPr>
          <w:rFonts w:ascii="Times New Roman" w:eastAsiaTheme="minorHAnsi" w:hAnsi="Times New Roman"/>
          <w:sz w:val="24"/>
          <w:szCs w:val="24"/>
          <w:lang w:val="en-US"/>
        </w:rPr>
        <w:t>Hilar Cholangiocarcinoma» W.Y. Lau. Springer Dordrecht Heidelberg New York London. ISBN 978-94-007-6472-9</w:t>
      </w:r>
    </w:p>
    <w:p w:rsidR="00E77D8E" w:rsidRPr="0094465B" w:rsidRDefault="0069156E" w:rsidP="0094465B">
      <w:pPr>
        <w:pStyle w:val="af6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94465B">
        <w:rPr>
          <w:rFonts w:ascii="Times New Roman" w:hAnsi="Times New Roman"/>
          <w:bCs/>
          <w:sz w:val="24"/>
          <w:szCs w:val="24"/>
        </w:rPr>
        <w:t>Атлас видеоэндоскопических внутрипросветных операции в клинической онкологии: научно-практическое издание / В.В. Соколов; под редакцией А.Х. Трахтенберга, А.Д. Каприна, В.И. Чиссова – М.:</w:t>
      </w:r>
      <w:r w:rsidR="0094465B">
        <w:rPr>
          <w:rFonts w:ascii="Times New Roman" w:hAnsi="Times New Roman"/>
          <w:bCs/>
          <w:sz w:val="24"/>
          <w:szCs w:val="24"/>
        </w:rPr>
        <w:t xml:space="preserve"> </w:t>
      </w:r>
      <w:r w:rsidRPr="0094465B">
        <w:rPr>
          <w:rFonts w:ascii="Times New Roman" w:hAnsi="Times New Roman"/>
          <w:bCs/>
          <w:sz w:val="24"/>
          <w:szCs w:val="24"/>
        </w:rPr>
        <w:t>Практическая медцина, 2015 – 152 с.</w:t>
      </w:r>
    </w:p>
    <w:p w:rsidR="00423D80" w:rsidRPr="0094465B" w:rsidRDefault="00423D80" w:rsidP="0094465B">
      <w:pPr>
        <w:pStyle w:val="af6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94465B">
        <w:rPr>
          <w:rFonts w:ascii="Times New Roman" w:hAnsi="Times New Roman"/>
          <w:bCs/>
          <w:sz w:val="24"/>
          <w:szCs w:val="24"/>
          <w:lang w:val="en-US"/>
        </w:rPr>
        <w:t>«Therapeutic Endoscopy: Color Atlas of Operative Techniques for the Gastrointestinal Tract» Nib S., Kenneth F. B., Hans S., Hans W. S. © 2005 Georg Thieme Verlag,</w:t>
      </w:r>
      <w:r w:rsidR="0094465B" w:rsidRPr="0094465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4465B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94465B">
        <w:rPr>
          <w:rFonts w:ascii="Times New Roman" w:hAnsi="Times New Roman"/>
          <w:bCs/>
          <w:sz w:val="24"/>
          <w:szCs w:val="24"/>
        </w:rPr>
        <w:t>ь</w:t>
      </w:r>
      <w:r w:rsidRPr="0094465B">
        <w:rPr>
          <w:rFonts w:ascii="Times New Roman" w:hAnsi="Times New Roman"/>
          <w:bCs/>
          <w:sz w:val="24"/>
          <w:szCs w:val="24"/>
          <w:lang w:val="en-US"/>
        </w:rPr>
        <w:t>digerstrasse 14, 70469 Stuttgart, Germany. ISBN 3-13-108262-3 (GTV)</w:t>
      </w:r>
    </w:p>
    <w:sectPr w:rsidR="00423D80" w:rsidRPr="0094465B" w:rsidSect="000F794B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F" w:rsidRDefault="007549FF" w:rsidP="0038498F">
      <w:r>
        <w:separator/>
      </w:r>
    </w:p>
  </w:endnote>
  <w:endnote w:type="continuationSeparator" w:id="0">
    <w:p w:rsidR="007549FF" w:rsidRDefault="007549FF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F" w:rsidRDefault="007549FF" w:rsidP="0038498F">
      <w:r>
        <w:separator/>
      </w:r>
    </w:p>
  </w:footnote>
  <w:footnote w:type="continuationSeparator" w:id="0">
    <w:p w:rsidR="007549FF" w:rsidRDefault="007549FF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41F3848"/>
    <w:multiLevelType w:val="hybridMultilevel"/>
    <w:tmpl w:val="C318E8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6304DB"/>
    <w:multiLevelType w:val="multilevel"/>
    <w:tmpl w:val="D532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0BD"/>
    <w:multiLevelType w:val="hybridMultilevel"/>
    <w:tmpl w:val="20F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43CA6B95"/>
    <w:multiLevelType w:val="hybridMultilevel"/>
    <w:tmpl w:val="0804FAA6"/>
    <w:lvl w:ilvl="0" w:tplc="E1BA60E0">
      <w:start w:val="4"/>
      <w:numFmt w:val="bullet"/>
      <w:lvlText w:val="•"/>
      <w:lvlJc w:val="left"/>
      <w:pPr>
        <w:ind w:left="1692" w:hanging="13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13EB6"/>
    <w:multiLevelType w:val="hybridMultilevel"/>
    <w:tmpl w:val="DE1099B0"/>
    <w:lvl w:ilvl="0" w:tplc="91BEB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3448F"/>
    <w:multiLevelType w:val="hybridMultilevel"/>
    <w:tmpl w:val="8CD0994C"/>
    <w:lvl w:ilvl="0" w:tplc="48A43F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40C7"/>
    <w:multiLevelType w:val="hybridMultilevel"/>
    <w:tmpl w:val="829AEA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1CE2"/>
    <w:multiLevelType w:val="hybridMultilevel"/>
    <w:tmpl w:val="A21E0AD8"/>
    <w:lvl w:ilvl="0" w:tplc="91BEB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170E67"/>
    <w:multiLevelType w:val="hybridMultilevel"/>
    <w:tmpl w:val="7346DCCE"/>
    <w:lvl w:ilvl="0" w:tplc="E1BA60E0">
      <w:start w:val="4"/>
      <w:numFmt w:val="bullet"/>
      <w:lvlText w:val="•"/>
      <w:lvlJc w:val="left"/>
      <w:pPr>
        <w:ind w:left="1692" w:hanging="13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30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3"/>
  </w:num>
  <w:num w:numId="12">
    <w:abstractNumId w:val="13"/>
  </w:num>
  <w:num w:numId="13">
    <w:abstractNumId w:val="20"/>
  </w:num>
  <w:num w:numId="14">
    <w:abstractNumId w:val="27"/>
  </w:num>
  <w:num w:numId="15">
    <w:abstractNumId w:val="29"/>
  </w:num>
  <w:num w:numId="16">
    <w:abstractNumId w:val="3"/>
  </w:num>
  <w:num w:numId="17">
    <w:abstractNumId w:val="15"/>
  </w:num>
  <w:num w:numId="18">
    <w:abstractNumId w:val="7"/>
  </w:num>
  <w:num w:numId="19">
    <w:abstractNumId w:val="25"/>
  </w:num>
  <w:num w:numId="20">
    <w:abstractNumId w:val="22"/>
  </w:num>
  <w:num w:numId="21">
    <w:abstractNumId w:val="2"/>
  </w:num>
  <w:num w:numId="22">
    <w:abstractNumId w:val="19"/>
  </w:num>
  <w:num w:numId="23">
    <w:abstractNumId w:val="5"/>
  </w:num>
  <w:num w:numId="24">
    <w:abstractNumId w:val="21"/>
  </w:num>
  <w:num w:numId="25">
    <w:abstractNumId w:val="1"/>
  </w:num>
  <w:num w:numId="26">
    <w:abstractNumId w:val="9"/>
  </w:num>
  <w:num w:numId="27">
    <w:abstractNumId w:val="12"/>
  </w:num>
  <w:num w:numId="28">
    <w:abstractNumId w:val="28"/>
  </w:num>
  <w:num w:numId="29">
    <w:abstractNumId w:val="17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0DB5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57552"/>
    <w:rsid w:val="000650FF"/>
    <w:rsid w:val="00067442"/>
    <w:rsid w:val="00070166"/>
    <w:rsid w:val="00071870"/>
    <w:rsid w:val="000756C3"/>
    <w:rsid w:val="00076937"/>
    <w:rsid w:val="000A4298"/>
    <w:rsid w:val="000A6D9A"/>
    <w:rsid w:val="000B3726"/>
    <w:rsid w:val="000D1594"/>
    <w:rsid w:val="000D7FC4"/>
    <w:rsid w:val="000E096D"/>
    <w:rsid w:val="000E33C0"/>
    <w:rsid w:val="000E61CF"/>
    <w:rsid w:val="000F6BB5"/>
    <w:rsid w:val="000F794B"/>
    <w:rsid w:val="00133E82"/>
    <w:rsid w:val="00160368"/>
    <w:rsid w:val="00171291"/>
    <w:rsid w:val="00172982"/>
    <w:rsid w:val="001733FD"/>
    <w:rsid w:val="00173CA0"/>
    <w:rsid w:val="00173E27"/>
    <w:rsid w:val="00183CF5"/>
    <w:rsid w:val="001954BC"/>
    <w:rsid w:val="00195CC1"/>
    <w:rsid w:val="001D1FA6"/>
    <w:rsid w:val="001D54ED"/>
    <w:rsid w:val="001D5679"/>
    <w:rsid w:val="001F701C"/>
    <w:rsid w:val="00204694"/>
    <w:rsid w:val="002056A7"/>
    <w:rsid w:val="00223208"/>
    <w:rsid w:val="00236EC2"/>
    <w:rsid w:val="0024577A"/>
    <w:rsid w:val="00254D76"/>
    <w:rsid w:val="00261FEF"/>
    <w:rsid w:val="002668B8"/>
    <w:rsid w:val="00266E3F"/>
    <w:rsid w:val="002779E7"/>
    <w:rsid w:val="002805FA"/>
    <w:rsid w:val="00287611"/>
    <w:rsid w:val="00293A62"/>
    <w:rsid w:val="00296F2C"/>
    <w:rsid w:val="002A3319"/>
    <w:rsid w:val="002B36BF"/>
    <w:rsid w:val="002B45A3"/>
    <w:rsid w:val="002C3115"/>
    <w:rsid w:val="002C5869"/>
    <w:rsid w:val="002E653C"/>
    <w:rsid w:val="002F1A67"/>
    <w:rsid w:val="00304005"/>
    <w:rsid w:val="00304F97"/>
    <w:rsid w:val="0031660E"/>
    <w:rsid w:val="00335988"/>
    <w:rsid w:val="00342343"/>
    <w:rsid w:val="003559C0"/>
    <w:rsid w:val="00367EC9"/>
    <w:rsid w:val="00375471"/>
    <w:rsid w:val="003760DD"/>
    <w:rsid w:val="0038498F"/>
    <w:rsid w:val="003876D6"/>
    <w:rsid w:val="00394C98"/>
    <w:rsid w:val="003A1AAD"/>
    <w:rsid w:val="003A2A0D"/>
    <w:rsid w:val="003A5189"/>
    <w:rsid w:val="003A5AA4"/>
    <w:rsid w:val="003A6E6E"/>
    <w:rsid w:val="003C1108"/>
    <w:rsid w:val="003C3F23"/>
    <w:rsid w:val="003C4E2C"/>
    <w:rsid w:val="003D0127"/>
    <w:rsid w:val="003D01F2"/>
    <w:rsid w:val="003D4516"/>
    <w:rsid w:val="003D622C"/>
    <w:rsid w:val="003E45A3"/>
    <w:rsid w:val="003F2A84"/>
    <w:rsid w:val="003F4544"/>
    <w:rsid w:val="00406079"/>
    <w:rsid w:val="004102FF"/>
    <w:rsid w:val="004122AF"/>
    <w:rsid w:val="00423D80"/>
    <w:rsid w:val="00432D64"/>
    <w:rsid w:val="00442D38"/>
    <w:rsid w:val="00447007"/>
    <w:rsid w:val="00465006"/>
    <w:rsid w:val="00465C06"/>
    <w:rsid w:val="00472E3F"/>
    <w:rsid w:val="004950C7"/>
    <w:rsid w:val="004962A5"/>
    <w:rsid w:val="004A502C"/>
    <w:rsid w:val="004B13C4"/>
    <w:rsid w:val="004B77DC"/>
    <w:rsid w:val="004C715D"/>
    <w:rsid w:val="004D53D9"/>
    <w:rsid w:val="004F55BE"/>
    <w:rsid w:val="004F6373"/>
    <w:rsid w:val="004F6D37"/>
    <w:rsid w:val="004F70E1"/>
    <w:rsid w:val="00501210"/>
    <w:rsid w:val="00527F0A"/>
    <w:rsid w:val="0053142B"/>
    <w:rsid w:val="00533F16"/>
    <w:rsid w:val="0054612F"/>
    <w:rsid w:val="00554D1C"/>
    <w:rsid w:val="0056323C"/>
    <w:rsid w:val="00584E58"/>
    <w:rsid w:val="005874A4"/>
    <w:rsid w:val="00595F9F"/>
    <w:rsid w:val="005961F7"/>
    <w:rsid w:val="005F12FF"/>
    <w:rsid w:val="005F3B42"/>
    <w:rsid w:val="00613C17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9156E"/>
    <w:rsid w:val="006A63B4"/>
    <w:rsid w:val="006B6E3F"/>
    <w:rsid w:val="006D300E"/>
    <w:rsid w:val="006E1293"/>
    <w:rsid w:val="006E4815"/>
    <w:rsid w:val="006E53E3"/>
    <w:rsid w:val="006F1E2B"/>
    <w:rsid w:val="006F640B"/>
    <w:rsid w:val="006F6DCE"/>
    <w:rsid w:val="0070081B"/>
    <w:rsid w:val="0071435A"/>
    <w:rsid w:val="00714A70"/>
    <w:rsid w:val="007164F8"/>
    <w:rsid w:val="007336D9"/>
    <w:rsid w:val="0073691E"/>
    <w:rsid w:val="00744778"/>
    <w:rsid w:val="007501EC"/>
    <w:rsid w:val="00752CC6"/>
    <w:rsid w:val="00753981"/>
    <w:rsid w:val="007549FF"/>
    <w:rsid w:val="0075536C"/>
    <w:rsid w:val="00761CF2"/>
    <w:rsid w:val="00772B7A"/>
    <w:rsid w:val="00773012"/>
    <w:rsid w:val="007750CD"/>
    <w:rsid w:val="00792C3E"/>
    <w:rsid w:val="00793E7D"/>
    <w:rsid w:val="007A0674"/>
    <w:rsid w:val="007B1CEF"/>
    <w:rsid w:val="007B1EB7"/>
    <w:rsid w:val="007E4EAA"/>
    <w:rsid w:val="007E7B67"/>
    <w:rsid w:val="00803418"/>
    <w:rsid w:val="00804A4C"/>
    <w:rsid w:val="00814B05"/>
    <w:rsid w:val="008224B3"/>
    <w:rsid w:val="00825F72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3659"/>
    <w:rsid w:val="008C3E33"/>
    <w:rsid w:val="008C7552"/>
    <w:rsid w:val="008D37C7"/>
    <w:rsid w:val="008E06A5"/>
    <w:rsid w:val="008F2CCB"/>
    <w:rsid w:val="008F2CE4"/>
    <w:rsid w:val="00900D7F"/>
    <w:rsid w:val="009060AA"/>
    <w:rsid w:val="009067B7"/>
    <w:rsid w:val="00906DDE"/>
    <w:rsid w:val="009159B2"/>
    <w:rsid w:val="0091656E"/>
    <w:rsid w:val="00927786"/>
    <w:rsid w:val="00927A8C"/>
    <w:rsid w:val="009343E0"/>
    <w:rsid w:val="00942B8C"/>
    <w:rsid w:val="0094465B"/>
    <w:rsid w:val="0095196A"/>
    <w:rsid w:val="00952776"/>
    <w:rsid w:val="0095722A"/>
    <w:rsid w:val="00964BF5"/>
    <w:rsid w:val="009934BF"/>
    <w:rsid w:val="009A0FCF"/>
    <w:rsid w:val="009A1FDF"/>
    <w:rsid w:val="009B2B68"/>
    <w:rsid w:val="009B5273"/>
    <w:rsid w:val="009C5DD3"/>
    <w:rsid w:val="009D4E52"/>
    <w:rsid w:val="009E3F84"/>
    <w:rsid w:val="00A12B0E"/>
    <w:rsid w:val="00A349BE"/>
    <w:rsid w:val="00A4588A"/>
    <w:rsid w:val="00A54437"/>
    <w:rsid w:val="00A55DDB"/>
    <w:rsid w:val="00A75AD1"/>
    <w:rsid w:val="00A90FD6"/>
    <w:rsid w:val="00AA5249"/>
    <w:rsid w:val="00AA61E8"/>
    <w:rsid w:val="00AB5065"/>
    <w:rsid w:val="00AB6173"/>
    <w:rsid w:val="00AC0F4A"/>
    <w:rsid w:val="00AC136B"/>
    <w:rsid w:val="00AC3A46"/>
    <w:rsid w:val="00AD5705"/>
    <w:rsid w:val="00AE1884"/>
    <w:rsid w:val="00AE5003"/>
    <w:rsid w:val="00B00386"/>
    <w:rsid w:val="00B01F7B"/>
    <w:rsid w:val="00B02B3F"/>
    <w:rsid w:val="00B238B1"/>
    <w:rsid w:val="00B24981"/>
    <w:rsid w:val="00B56AE7"/>
    <w:rsid w:val="00B6196B"/>
    <w:rsid w:val="00B816F4"/>
    <w:rsid w:val="00B86A66"/>
    <w:rsid w:val="00B87613"/>
    <w:rsid w:val="00BA0A0C"/>
    <w:rsid w:val="00BB15B1"/>
    <w:rsid w:val="00BB1CA4"/>
    <w:rsid w:val="00BB5038"/>
    <w:rsid w:val="00BC566F"/>
    <w:rsid w:val="00BE38D4"/>
    <w:rsid w:val="00BF03B6"/>
    <w:rsid w:val="00BF0C50"/>
    <w:rsid w:val="00C06121"/>
    <w:rsid w:val="00C33072"/>
    <w:rsid w:val="00C442E7"/>
    <w:rsid w:val="00C458C6"/>
    <w:rsid w:val="00C53A67"/>
    <w:rsid w:val="00C62681"/>
    <w:rsid w:val="00C65F7B"/>
    <w:rsid w:val="00C71632"/>
    <w:rsid w:val="00C7172A"/>
    <w:rsid w:val="00C73AF9"/>
    <w:rsid w:val="00C76F19"/>
    <w:rsid w:val="00C828EA"/>
    <w:rsid w:val="00C9622F"/>
    <w:rsid w:val="00CA51C3"/>
    <w:rsid w:val="00CD1F55"/>
    <w:rsid w:val="00CD2CDE"/>
    <w:rsid w:val="00CE340E"/>
    <w:rsid w:val="00CE4EE2"/>
    <w:rsid w:val="00CF04CC"/>
    <w:rsid w:val="00CF521D"/>
    <w:rsid w:val="00CF7F56"/>
    <w:rsid w:val="00D11DD9"/>
    <w:rsid w:val="00D14136"/>
    <w:rsid w:val="00D17717"/>
    <w:rsid w:val="00D226D1"/>
    <w:rsid w:val="00D26193"/>
    <w:rsid w:val="00D3221B"/>
    <w:rsid w:val="00D350BC"/>
    <w:rsid w:val="00D47966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C66A2"/>
    <w:rsid w:val="00DD1A41"/>
    <w:rsid w:val="00DD2E9F"/>
    <w:rsid w:val="00DE47DF"/>
    <w:rsid w:val="00DE57C8"/>
    <w:rsid w:val="00DF0531"/>
    <w:rsid w:val="00DF6C9C"/>
    <w:rsid w:val="00E10A9C"/>
    <w:rsid w:val="00E16C38"/>
    <w:rsid w:val="00E30187"/>
    <w:rsid w:val="00E34BB4"/>
    <w:rsid w:val="00E37B28"/>
    <w:rsid w:val="00E426D0"/>
    <w:rsid w:val="00E63762"/>
    <w:rsid w:val="00E66DE3"/>
    <w:rsid w:val="00E731D2"/>
    <w:rsid w:val="00E73BCD"/>
    <w:rsid w:val="00E77D8E"/>
    <w:rsid w:val="00E96ABE"/>
    <w:rsid w:val="00EB5BF2"/>
    <w:rsid w:val="00EC019D"/>
    <w:rsid w:val="00ED5E29"/>
    <w:rsid w:val="00EE64AC"/>
    <w:rsid w:val="00EE68CB"/>
    <w:rsid w:val="00EF698F"/>
    <w:rsid w:val="00F018C9"/>
    <w:rsid w:val="00F30312"/>
    <w:rsid w:val="00F305BD"/>
    <w:rsid w:val="00F36837"/>
    <w:rsid w:val="00F37D4F"/>
    <w:rsid w:val="00F40ECC"/>
    <w:rsid w:val="00F42DBD"/>
    <w:rsid w:val="00F70F1A"/>
    <w:rsid w:val="00F87492"/>
    <w:rsid w:val="00F95059"/>
    <w:rsid w:val="00F957AA"/>
    <w:rsid w:val="00FA0F79"/>
    <w:rsid w:val="00FA139B"/>
    <w:rsid w:val="00FA3DD8"/>
    <w:rsid w:val="00FA662B"/>
    <w:rsid w:val="00FA766A"/>
    <w:rsid w:val="00FC4B5C"/>
    <w:rsid w:val="00FE4995"/>
    <w:rsid w:val="00F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9D48"/>
  <w15:docId w15:val="{3C7A22D8-39A0-471D-A9AD-214A18E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D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character" w:customStyle="1" w:styleId="HTML0">
    <w:name w:val="Стандартный HTML Знак"/>
    <w:basedOn w:val="a0"/>
    <w:link w:val="HTML"/>
    <w:rsid w:val="009D4E52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A0CC-443E-4A3E-B616-59AE40A3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36</cp:revision>
  <cp:lastPrinted>2018-04-18T06:38:00Z</cp:lastPrinted>
  <dcterms:created xsi:type="dcterms:W3CDTF">2018-04-16T06:57:00Z</dcterms:created>
  <dcterms:modified xsi:type="dcterms:W3CDTF">2018-07-15T06:15:00Z</dcterms:modified>
</cp:coreProperties>
</file>