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B4555C" w:rsidRDefault="00D02D36" w:rsidP="00D02D36">
      <w:pPr>
        <w:jc w:val="center"/>
        <w:rPr>
          <w:rFonts w:cs="Times New Roman"/>
          <w:b/>
          <w:sz w:val="22"/>
          <w:szCs w:val="22"/>
          <w:lang w:val="kk-KZ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  <w:r w:rsidR="00B4555C">
        <w:rPr>
          <w:rFonts w:cs="Times New Roman"/>
          <w:b/>
          <w:sz w:val="22"/>
          <w:szCs w:val="22"/>
          <w:lang w:val="kk-KZ"/>
        </w:rPr>
        <w:t>.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0A27B1">
        <w:rPr>
          <w:rFonts w:cs="Times New Roman"/>
          <w:sz w:val="22"/>
          <w:szCs w:val="22"/>
        </w:rPr>
        <w:t>2</w:t>
      </w:r>
      <w:r w:rsidR="00B4555C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 xml:space="preserve">» </w:t>
      </w:r>
      <w:r w:rsidR="00B4555C">
        <w:rPr>
          <w:rFonts w:cs="Times New Roman"/>
          <w:sz w:val="22"/>
          <w:szCs w:val="22"/>
          <w:lang w:val="kk-KZ"/>
        </w:rPr>
        <w:t>января</w:t>
      </w:r>
      <w:r w:rsidR="00721326">
        <w:rPr>
          <w:rFonts w:cs="Times New Roman"/>
          <w:sz w:val="22"/>
          <w:szCs w:val="22"/>
        </w:rPr>
        <w:t xml:space="preserve"> </w:t>
      </w:r>
      <w:r w:rsidR="005B0FD2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  <w:bookmarkStart w:id="0" w:name="_GoBack"/>
      <w:bookmarkEnd w:id="0"/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290C95" w:rsidRPr="00AD1F57" w:rsidRDefault="00290C95" w:rsidP="00290C95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290C95" w:rsidRPr="00AD1F57" w:rsidRDefault="00290C95" w:rsidP="00290C95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4152"/>
        <w:gridCol w:w="1269"/>
        <w:gridCol w:w="821"/>
        <w:gridCol w:w="1605"/>
        <w:gridCol w:w="1560"/>
      </w:tblGrid>
      <w:tr w:rsidR="00791186" w:rsidRPr="001F24FA" w:rsidTr="000A27B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№</w:t>
            </w:r>
          </w:p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лота</w:t>
            </w:r>
          </w:p>
        </w:tc>
        <w:tc>
          <w:tcPr>
            <w:tcW w:w="4152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269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91186" w:rsidRPr="001F24FA" w:rsidRDefault="00791186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1F24FA">
              <w:rPr>
                <w:rFonts w:cs="Times New Roman"/>
                <w:b/>
                <w:sz w:val="22"/>
                <w:szCs w:val="22"/>
              </w:rPr>
              <w:t>Выделенная сумма</w:t>
            </w:r>
          </w:p>
        </w:tc>
      </w:tr>
      <w:tr w:rsidR="005A3BA9" w:rsidRPr="001F24FA" w:rsidTr="005A3BA9">
        <w:trPr>
          <w:trHeight w:val="181"/>
        </w:trPr>
        <w:tc>
          <w:tcPr>
            <w:tcW w:w="668" w:type="dxa"/>
            <w:shd w:val="clear" w:color="000000" w:fill="FFFFFF"/>
            <w:noWrap/>
            <w:vAlign w:val="center"/>
          </w:tcPr>
          <w:p w:rsidR="005A3BA9" w:rsidRPr="001F24FA" w:rsidRDefault="005A3BA9" w:rsidP="00E240B7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9407" w:type="dxa"/>
            <w:gridSpan w:val="5"/>
            <w:shd w:val="clear" w:color="000000" w:fill="FFFFFF"/>
            <w:vAlign w:val="center"/>
          </w:tcPr>
          <w:p w:rsidR="005A3BA9" w:rsidRPr="001F24FA" w:rsidRDefault="005A3BA9" w:rsidP="005A3BA9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Кардиохирургия</w:t>
            </w:r>
          </w:p>
        </w:tc>
      </w:tr>
      <w:tr w:rsidR="005A3BA9" w:rsidRPr="001F24FA" w:rsidTr="000A27B1">
        <w:trPr>
          <w:trHeight w:val="47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0A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Держатель верхушки сердца для непревзойденных доступов к коронарным артериям. Вакуумный тип Звездообразный фиксатор верхушки с 3-мя лучами Лепестки звездообразного фиксатора одинаковой длины Многоплоскостная подвижность фиксатора Подвижный манипулятор Гибкий держатель, обеспечивающий жесткость фиксации Фиксируется на </w:t>
            </w:r>
            <w:proofErr w:type="spellStart"/>
            <w:r>
              <w:rPr>
                <w:sz w:val="22"/>
                <w:szCs w:val="22"/>
              </w:rPr>
              <w:t>ранорасширитель</w:t>
            </w:r>
            <w:proofErr w:type="spellEnd"/>
            <w:r>
              <w:rPr>
                <w:sz w:val="22"/>
                <w:szCs w:val="22"/>
              </w:rPr>
              <w:t xml:space="preserve"> Двухходовый краник для регулировки вакуума Набор для присоединения вакуума Длина манипулятора Не менее 135 мм Глубина лепестка Не менее 16 мм Рекомендуемое разрежение не менее 300 мм </w:t>
            </w:r>
            <w:proofErr w:type="spellStart"/>
            <w:r>
              <w:rPr>
                <w:sz w:val="22"/>
                <w:szCs w:val="22"/>
              </w:rPr>
              <w:t>рт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Материал- термолабильный прозрачный силикон Утолщенные кончики выполнены в форме двусторонней оливы Пластиковая бирка с указанием размера шунта </w:t>
            </w:r>
            <w:proofErr w:type="spellStart"/>
            <w:r>
              <w:rPr>
                <w:sz w:val="22"/>
                <w:szCs w:val="22"/>
              </w:rPr>
              <w:t>Ренгеноконтрастность</w:t>
            </w:r>
            <w:proofErr w:type="spellEnd"/>
            <w:r>
              <w:rPr>
                <w:sz w:val="22"/>
                <w:szCs w:val="22"/>
              </w:rPr>
              <w:t xml:space="preserve"> Расположение линии сгиба при введении ассиметрично. Непружинный механизм сгибания Корпус неармированный Расстояние между оливами 14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219 000,00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219 000,00</w:t>
            </w:r>
          </w:p>
        </w:tc>
      </w:tr>
      <w:tr w:rsidR="005A3BA9" w:rsidRPr="001F24FA" w:rsidTr="005A3BA9">
        <w:trPr>
          <w:trHeight w:val="527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0A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Стабилизатор тканей миокарда для аортокоронарного шунтирования. </w:t>
            </w:r>
          </w:p>
          <w:p w:rsidR="005A3BA9" w:rsidRDefault="005A3BA9" w:rsidP="000A2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Стабилизатор миокарда имеет следующие особенности: Низкопрофильный блок присосок. Блок присосок с 3-мя </w:t>
            </w:r>
            <w:proofErr w:type="spellStart"/>
            <w:r>
              <w:rPr>
                <w:sz w:val="22"/>
                <w:szCs w:val="22"/>
              </w:rPr>
              <w:t>браншами</w:t>
            </w:r>
            <w:proofErr w:type="spellEnd"/>
            <w:r>
              <w:rPr>
                <w:sz w:val="22"/>
                <w:szCs w:val="22"/>
              </w:rPr>
              <w:t xml:space="preserve"> малого размера, разработанный специально для </w:t>
            </w:r>
            <w:r>
              <w:rPr>
                <w:sz w:val="22"/>
                <w:szCs w:val="22"/>
              </w:rPr>
              <w:lastRenderedPageBreak/>
              <w:t xml:space="preserve">минимально инвазивной хирургии. Гибкие </w:t>
            </w:r>
            <w:proofErr w:type="spellStart"/>
            <w:r>
              <w:rPr>
                <w:sz w:val="22"/>
                <w:szCs w:val="22"/>
              </w:rPr>
              <w:t>бранши</w:t>
            </w:r>
            <w:proofErr w:type="spellEnd"/>
            <w:r>
              <w:rPr>
                <w:sz w:val="22"/>
                <w:szCs w:val="22"/>
              </w:rPr>
              <w:t xml:space="preserve"> обеспечивают удобство работы из малого разреза. Съемный блок присосок с удобной системой фиксации облегчает введение рабочей шахты</w:t>
            </w:r>
          </w:p>
        </w:tc>
        <w:tc>
          <w:tcPr>
            <w:tcW w:w="1269" w:type="dxa"/>
            <w:shd w:val="clear" w:color="000000" w:fill="FFFFFF"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505 000,00</w:t>
            </w:r>
          </w:p>
        </w:tc>
      </w:tr>
      <w:tr w:rsidR="005A3BA9" w:rsidRPr="001F24FA" w:rsidTr="005A3BA9">
        <w:trPr>
          <w:trHeight w:val="325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5A3BA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Интракоронарные</w:t>
            </w:r>
            <w:proofErr w:type="spellEnd"/>
            <w:r>
              <w:rPr>
                <w:sz w:val="22"/>
                <w:szCs w:val="22"/>
              </w:rPr>
              <w:t xml:space="preserve"> шунты разных размеров (1,0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 xml:space="preserve"> - 3,0 </w:t>
            </w:r>
            <w:proofErr w:type="spellStart"/>
            <w:r>
              <w:rPr>
                <w:sz w:val="22"/>
                <w:szCs w:val="22"/>
              </w:rPr>
              <w:t>mm</w:t>
            </w:r>
            <w:proofErr w:type="spellEnd"/>
            <w:r>
              <w:rPr>
                <w:sz w:val="22"/>
                <w:szCs w:val="22"/>
              </w:rPr>
              <w:t>).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прозрачная.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 w:rsidP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150 000,00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1F24FA" w:rsidRDefault="005A3BA9" w:rsidP="007D3FA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1F24FA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5A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1,0 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53 760,00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537 600,00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Pr="007D3FAC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5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5A3BA9" w:rsidP="005A3B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2"/>
                <w:szCs w:val="22"/>
              </w:rPr>
              <w:t>Предназначен</w:t>
            </w:r>
            <w:proofErr w:type="gramEnd"/>
            <w:r>
              <w:rPr>
                <w:sz w:val="22"/>
                <w:szCs w:val="22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Изготовлен</w:t>
            </w:r>
            <w:proofErr w:type="gramEnd"/>
            <w:r>
              <w:rPr>
                <w:sz w:val="22"/>
                <w:szCs w:val="22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2"/>
                <w:szCs w:val="22"/>
              </w:rPr>
              <w:t>прорастаемость</w:t>
            </w:r>
            <w:proofErr w:type="spellEnd"/>
            <w:r>
              <w:rPr>
                <w:sz w:val="22"/>
                <w:szCs w:val="22"/>
              </w:rPr>
              <w:t>. В виде пластин размером 90×90 мм, толщиной 2,0мм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5A3B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579 200,00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6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9A5C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Проволока хирургическая стальная условным №5 длиной нити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9A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9A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9A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7 300,00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9A5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613 200,00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lastRenderedPageBreak/>
              <w:t>7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A22D44" w:rsidP="00A22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Проволока хирургическая стальная условным №7 длиной нити </w:t>
            </w:r>
            <w:proofErr w:type="gramStart"/>
            <w:r>
              <w:rPr>
                <w:sz w:val="22"/>
                <w:szCs w:val="22"/>
              </w:rPr>
              <w:t>см</w:t>
            </w:r>
            <w:proofErr w:type="gramEnd"/>
            <w:r>
              <w:rPr>
                <w:sz w:val="22"/>
                <w:szCs w:val="22"/>
              </w:rPr>
              <w:t>: 45 с атравматическими иглами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7 500,00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8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A22D44" w:rsidP="00A22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Материал хирургический </w:t>
            </w:r>
            <w:proofErr w:type="spellStart"/>
            <w:r>
              <w:rPr>
                <w:sz w:val="22"/>
                <w:szCs w:val="22"/>
              </w:rPr>
              <w:t>гемостатический</w:t>
            </w:r>
            <w:proofErr w:type="spellEnd"/>
            <w:r>
              <w:rPr>
                <w:sz w:val="22"/>
                <w:szCs w:val="22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gramEnd"/>
            <w:r>
              <w:rPr>
                <w:sz w:val="22"/>
                <w:szCs w:val="22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sz w:val="22"/>
                <w:szCs w:val="22"/>
              </w:rPr>
              <w:t>размятия</w:t>
            </w:r>
            <w:proofErr w:type="spellEnd"/>
            <w:r>
              <w:rPr>
                <w:sz w:val="22"/>
                <w:szCs w:val="22"/>
              </w:rPr>
              <w:t>. Вес - 2,5 грамм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9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A22D44" w:rsidP="00A22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Жесткое титановое седлообразное кольцо для </w:t>
            </w:r>
            <w:proofErr w:type="spellStart"/>
            <w:r>
              <w:rPr>
                <w:sz w:val="22"/>
                <w:szCs w:val="22"/>
              </w:rPr>
              <w:t>аннулопластики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Создан</w:t>
            </w:r>
            <w:proofErr w:type="gramEnd"/>
            <w:r>
              <w:rPr>
                <w:sz w:val="22"/>
                <w:szCs w:val="22"/>
              </w:rPr>
              <w:t xml:space="preserve"> для поддержки формы здорового митрального кольца. Титановый каркас поддерживает  анатомическую форму и </w:t>
            </w:r>
            <w:proofErr w:type="spellStart"/>
            <w:r>
              <w:rPr>
                <w:sz w:val="22"/>
                <w:szCs w:val="22"/>
              </w:rPr>
              <w:t>ремоделирует</w:t>
            </w:r>
            <w:proofErr w:type="spellEnd"/>
            <w:r>
              <w:rPr>
                <w:sz w:val="22"/>
                <w:szCs w:val="22"/>
              </w:rPr>
              <w:t xml:space="preserve"> клапанное кольцо. Седловидное кольцо способствует эффективному распределению нагрузки на створки и сухожильные </w:t>
            </w:r>
            <w:proofErr w:type="spellStart"/>
            <w:r>
              <w:rPr>
                <w:sz w:val="22"/>
                <w:szCs w:val="22"/>
              </w:rPr>
              <w:t>хорды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анжета</w:t>
            </w:r>
            <w:proofErr w:type="spellEnd"/>
            <w:r>
              <w:rPr>
                <w:sz w:val="22"/>
                <w:szCs w:val="22"/>
              </w:rPr>
              <w:t xml:space="preserve"> EZ  поддерживается уникальным треугольным сердечником. Отношение высоты кольца к ширине комиссур 15%. Размеры кольца 24,26,28,30,32,34. Размер между комиссурами 24,26,28,30,32,34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нутренний</w:t>
            </w:r>
            <w:proofErr w:type="spellEnd"/>
            <w:r>
              <w:rPr>
                <w:sz w:val="22"/>
                <w:szCs w:val="22"/>
              </w:rPr>
              <w:t xml:space="preserve"> размер 22,24,26,28,30,32. Внешний размер 30,32,34,36,38,40 мм. </w:t>
            </w:r>
            <w:proofErr w:type="spellStart"/>
            <w:r>
              <w:rPr>
                <w:sz w:val="22"/>
                <w:szCs w:val="22"/>
              </w:rPr>
              <w:t>Передне</w:t>
            </w:r>
            <w:proofErr w:type="spellEnd"/>
            <w:r>
              <w:rPr>
                <w:sz w:val="22"/>
                <w:szCs w:val="22"/>
              </w:rPr>
              <w:t xml:space="preserve">-задний размер 13.6 ;15.1; 16.2; 17.9; 19.2; 20.6 </w:t>
            </w:r>
            <w:proofErr w:type="spellStart"/>
            <w:r>
              <w:rPr>
                <w:sz w:val="22"/>
                <w:szCs w:val="22"/>
              </w:rPr>
              <w:t>мм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нутренняя</w:t>
            </w:r>
            <w:proofErr w:type="spellEnd"/>
            <w:r>
              <w:rPr>
                <w:sz w:val="22"/>
                <w:szCs w:val="22"/>
              </w:rPr>
              <w:t xml:space="preserve"> двухмерная площадь 227, 276,331,387,450,511 мм2.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795 000,00</w:t>
            </w:r>
          </w:p>
        </w:tc>
      </w:tr>
      <w:tr w:rsidR="005A3BA9" w:rsidRPr="001F24FA" w:rsidTr="000A27B1">
        <w:trPr>
          <w:trHeight w:val="406"/>
        </w:trPr>
        <w:tc>
          <w:tcPr>
            <w:tcW w:w="668" w:type="dxa"/>
            <w:shd w:val="clear" w:color="000000" w:fill="FFFFFF"/>
            <w:noWrap/>
          </w:tcPr>
          <w:p w:rsidR="005A3BA9" w:rsidRDefault="005A3BA9" w:rsidP="007D3FAC">
            <w:pPr>
              <w:jc w:val="center"/>
              <w:rPr>
                <w:rFonts w:cs="Times New Roman"/>
                <w:sz w:val="22"/>
                <w:szCs w:val="22"/>
                <w:lang w:val="kk-KZ"/>
              </w:rPr>
            </w:pPr>
            <w:r>
              <w:rPr>
                <w:rFonts w:cs="Times New Roman"/>
                <w:sz w:val="22"/>
                <w:szCs w:val="22"/>
                <w:lang w:val="kk-KZ"/>
              </w:rPr>
              <w:t>10</w:t>
            </w:r>
          </w:p>
        </w:tc>
        <w:tc>
          <w:tcPr>
            <w:tcW w:w="4152" w:type="dxa"/>
            <w:shd w:val="clear" w:color="000000" w:fill="FFFFFF"/>
            <w:vAlign w:val="center"/>
          </w:tcPr>
          <w:p w:rsidR="005A3BA9" w:rsidRDefault="00A22D44" w:rsidP="00A22D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22"/>
                <w:szCs w:val="22"/>
              </w:rPr>
              <w:t>глютеральдегида</w:t>
            </w:r>
            <w:proofErr w:type="spellEnd"/>
            <w:r>
              <w:rPr>
                <w:sz w:val="22"/>
                <w:szCs w:val="22"/>
              </w:rPr>
              <w:t xml:space="preserve">. В комплект входит шприц 2,5 мл с 4-мя стандартными аппликаторами – 1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мешивание</w:t>
            </w:r>
            <w:proofErr w:type="spellEnd"/>
            <w:r>
              <w:rPr>
                <w:sz w:val="22"/>
                <w:szCs w:val="22"/>
              </w:rPr>
              <w:t xml:space="preserve">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2"/>
                <w:szCs w:val="22"/>
              </w:rPr>
              <w:t>апирогенность</w:t>
            </w:r>
            <w:proofErr w:type="spellEnd"/>
            <w:r>
              <w:rPr>
                <w:sz w:val="22"/>
                <w:szCs w:val="22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</w:t>
            </w:r>
          </w:p>
        </w:tc>
        <w:tc>
          <w:tcPr>
            <w:tcW w:w="1269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135 000,00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A3BA9" w:rsidRDefault="00A22D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1 350 000,00</w:t>
            </w:r>
          </w:p>
        </w:tc>
      </w:tr>
    </w:tbl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Выделенная</w:t>
      </w:r>
      <w:r w:rsidR="0080080F" w:rsidRPr="001F24FA">
        <w:rPr>
          <w:rFonts w:cs="Times New Roman"/>
          <w:sz w:val="22"/>
          <w:szCs w:val="22"/>
        </w:rPr>
        <w:t xml:space="preserve"> сумма</w:t>
      </w:r>
      <w:r w:rsidR="007773A2" w:rsidRPr="001F24FA">
        <w:rPr>
          <w:rFonts w:cs="Times New Roman"/>
          <w:sz w:val="22"/>
          <w:szCs w:val="22"/>
        </w:rPr>
        <w:t xml:space="preserve"> </w:t>
      </w:r>
      <w:r w:rsidR="00A22D44">
        <w:rPr>
          <w:rFonts w:cs="Times New Roman"/>
          <w:sz w:val="22"/>
          <w:szCs w:val="22"/>
          <w:lang w:val="kk-KZ"/>
        </w:rPr>
        <w:t>5 427 000</w:t>
      </w:r>
      <w:r w:rsidR="00C81528" w:rsidRPr="001F24FA">
        <w:rPr>
          <w:rFonts w:cs="Times New Roman"/>
          <w:sz w:val="22"/>
          <w:szCs w:val="22"/>
        </w:rPr>
        <w:t>,00</w:t>
      </w:r>
      <w:r w:rsidR="002A308A" w:rsidRPr="001F24FA">
        <w:rPr>
          <w:rFonts w:cs="Times New Roman"/>
          <w:sz w:val="22"/>
          <w:szCs w:val="22"/>
        </w:rPr>
        <w:t xml:space="preserve"> </w:t>
      </w:r>
      <w:r w:rsidR="00E3492F" w:rsidRPr="001F24FA">
        <w:rPr>
          <w:rFonts w:cs="Times New Roman"/>
          <w:sz w:val="22"/>
          <w:szCs w:val="22"/>
        </w:rPr>
        <w:t>(</w:t>
      </w:r>
      <w:r w:rsidR="00737B3F" w:rsidRPr="00737B3F">
        <w:rPr>
          <w:rFonts w:cs="Times New Roman"/>
          <w:sz w:val="22"/>
          <w:szCs w:val="22"/>
        </w:rPr>
        <w:t xml:space="preserve">пять миллионов </w:t>
      </w:r>
      <w:r w:rsidR="00A22D44">
        <w:rPr>
          <w:rFonts w:cs="Times New Roman"/>
          <w:sz w:val="22"/>
          <w:szCs w:val="22"/>
        </w:rPr>
        <w:t>четыреста двадцать семь</w:t>
      </w:r>
      <w:r w:rsidR="000D2585" w:rsidRPr="001F24FA">
        <w:rPr>
          <w:rFonts w:cs="Times New Roman"/>
          <w:sz w:val="22"/>
          <w:szCs w:val="22"/>
        </w:rPr>
        <w:t>)</w:t>
      </w:r>
      <w:r w:rsidR="0080080F" w:rsidRPr="001F24FA">
        <w:rPr>
          <w:rFonts w:cs="Times New Roman"/>
          <w:sz w:val="22"/>
          <w:szCs w:val="22"/>
        </w:rPr>
        <w:t xml:space="preserve"> тенге</w:t>
      </w:r>
      <w:r w:rsidR="004610F5" w:rsidRPr="001F24FA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</w:t>
      </w:r>
      <w:r w:rsidRPr="001F24FA">
        <w:rPr>
          <w:rFonts w:cs="Times New Roman"/>
          <w:sz w:val="22"/>
          <w:szCs w:val="22"/>
        </w:rPr>
        <w:lastRenderedPageBreak/>
        <w:t xml:space="preserve">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B4555C">
        <w:rPr>
          <w:rFonts w:cs="Times New Roman"/>
          <w:sz w:val="22"/>
          <w:szCs w:val="22"/>
          <w:lang w:val="kk-KZ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0</w:t>
      </w:r>
      <w:r w:rsidR="00B4555C">
        <w:rPr>
          <w:rFonts w:cs="Times New Roman"/>
          <w:sz w:val="22"/>
          <w:szCs w:val="22"/>
          <w:lang w:val="kk-KZ"/>
        </w:rPr>
        <w:t>2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</w:t>
      </w:r>
      <w:r w:rsidR="005F237D">
        <w:rPr>
          <w:rFonts w:cs="Times New Roman"/>
          <w:sz w:val="22"/>
          <w:szCs w:val="22"/>
        </w:rPr>
        <w:t>1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0A4E11" w:rsidRPr="001F24FA">
        <w:rPr>
          <w:rFonts w:cs="Times New Roman"/>
          <w:sz w:val="22"/>
          <w:szCs w:val="22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B4555C">
        <w:rPr>
          <w:rFonts w:cs="Times New Roman"/>
          <w:sz w:val="22"/>
          <w:szCs w:val="22"/>
          <w:lang w:val="kk-KZ"/>
        </w:rPr>
        <w:t>02</w:t>
      </w:r>
      <w:r w:rsidRPr="001F24FA">
        <w:rPr>
          <w:rFonts w:cs="Times New Roman"/>
          <w:sz w:val="22"/>
          <w:szCs w:val="22"/>
        </w:rPr>
        <w:t>.</w:t>
      </w:r>
      <w:r w:rsidR="00B4555C">
        <w:rPr>
          <w:rFonts w:cs="Times New Roman"/>
          <w:sz w:val="22"/>
          <w:szCs w:val="22"/>
        </w:rPr>
        <w:t>0</w:t>
      </w:r>
      <w:r w:rsidR="00B4555C">
        <w:rPr>
          <w:rFonts w:cs="Times New Roman"/>
          <w:sz w:val="22"/>
          <w:szCs w:val="22"/>
          <w:lang w:val="kk-KZ"/>
        </w:rPr>
        <w:t>2</w:t>
      </w:r>
      <w:r w:rsidRPr="001F24FA">
        <w:rPr>
          <w:rFonts w:cs="Times New Roman"/>
          <w:sz w:val="22"/>
          <w:szCs w:val="22"/>
        </w:rPr>
        <w:t>.</w:t>
      </w:r>
      <w:r w:rsidR="005F237D">
        <w:rPr>
          <w:rFonts w:cs="Times New Roman"/>
          <w:sz w:val="22"/>
          <w:szCs w:val="22"/>
        </w:rPr>
        <w:t>2021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F237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B4555C">
        <w:rPr>
          <w:rFonts w:cs="Times New Roman"/>
          <w:sz w:val="22"/>
          <w:szCs w:val="22"/>
          <w:lang w:val="kk-KZ"/>
        </w:rPr>
        <w:t>3</w:t>
      </w:r>
      <w:r w:rsidR="00A534D2" w:rsidRPr="001F24FA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="007223B9" w:rsidRPr="001F24FA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  <w:proofErr w:type="gramEnd"/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 xml:space="preserve"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</w:t>
      </w:r>
      <w:r w:rsidR="007223B9" w:rsidRPr="001F24FA">
        <w:rPr>
          <w:rStyle w:val="s0"/>
          <w:sz w:val="22"/>
          <w:szCs w:val="22"/>
        </w:rPr>
        <w:lastRenderedPageBreak/>
        <w:t>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56832"/>
    <w:rsid w:val="0009393C"/>
    <w:rsid w:val="000A1533"/>
    <w:rsid w:val="000A27B1"/>
    <w:rsid w:val="000A4E11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90C95"/>
    <w:rsid w:val="002A308A"/>
    <w:rsid w:val="002B2BC2"/>
    <w:rsid w:val="002F2B60"/>
    <w:rsid w:val="00302081"/>
    <w:rsid w:val="003129AC"/>
    <w:rsid w:val="00324425"/>
    <w:rsid w:val="003249AB"/>
    <w:rsid w:val="0033085D"/>
    <w:rsid w:val="003347CB"/>
    <w:rsid w:val="00340217"/>
    <w:rsid w:val="003469CF"/>
    <w:rsid w:val="003556EC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073F"/>
    <w:rsid w:val="005973CB"/>
    <w:rsid w:val="005A3BA9"/>
    <w:rsid w:val="005B0FD2"/>
    <w:rsid w:val="005F237D"/>
    <w:rsid w:val="00653A61"/>
    <w:rsid w:val="00666AAF"/>
    <w:rsid w:val="00694C51"/>
    <w:rsid w:val="006B7388"/>
    <w:rsid w:val="007043A3"/>
    <w:rsid w:val="00721326"/>
    <w:rsid w:val="007223B9"/>
    <w:rsid w:val="00726042"/>
    <w:rsid w:val="00737B3F"/>
    <w:rsid w:val="007500B0"/>
    <w:rsid w:val="00762AF4"/>
    <w:rsid w:val="007773A2"/>
    <w:rsid w:val="00791186"/>
    <w:rsid w:val="007D3FAC"/>
    <w:rsid w:val="007D6ED1"/>
    <w:rsid w:val="007D726A"/>
    <w:rsid w:val="0080080F"/>
    <w:rsid w:val="00854526"/>
    <w:rsid w:val="0086053E"/>
    <w:rsid w:val="008D65C8"/>
    <w:rsid w:val="0090711C"/>
    <w:rsid w:val="00946F21"/>
    <w:rsid w:val="00956B72"/>
    <w:rsid w:val="009676AE"/>
    <w:rsid w:val="009710A9"/>
    <w:rsid w:val="009A5CCA"/>
    <w:rsid w:val="009A7FA5"/>
    <w:rsid w:val="009B6D94"/>
    <w:rsid w:val="009C67CD"/>
    <w:rsid w:val="00A10B87"/>
    <w:rsid w:val="00A144EC"/>
    <w:rsid w:val="00A22D44"/>
    <w:rsid w:val="00A332A8"/>
    <w:rsid w:val="00A4250E"/>
    <w:rsid w:val="00A46BA5"/>
    <w:rsid w:val="00A534D2"/>
    <w:rsid w:val="00A85D9B"/>
    <w:rsid w:val="00A966A6"/>
    <w:rsid w:val="00AA1CC0"/>
    <w:rsid w:val="00AA2089"/>
    <w:rsid w:val="00AF5191"/>
    <w:rsid w:val="00B2441D"/>
    <w:rsid w:val="00B25283"/>
    <w:rsid w:val="00B4555C"/>
    <w:rsid w:val="00B85056"/>
    <w:rsid w:val="00BA038D"/>
    <w:rsid w:val="00C331C4"/>
    <w:rsid w:val="00C352D3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262CA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E4285-4D82-4CD7-8C2B-893A05EA4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5</Pages>
  <Words>2177</Words>
  <Characters>12415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81</cp:revision>
  <cp:lastPrinted>2020-12-25T05:40:00Z</cp:lastPrinted>
  <dcterms:created xsi:type="dcterms:W3CDTF">2019-01-15T05:22:00Z</dcterms:created>
  <dcterms:modified xsi:type="dcterms:W3CDTF">2021-01-26T09:21:00Z</dcterms:modified>
</cp:coreProperties>
</file>