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A5472F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A27B1">
        <w:rPr>
          <w:rFonts w:cs="Times New Roman"/>
          <w:sz w:val="22"/>
          <w:szCs w:val="22"/>
        </w:rPr>
        <w:t>2</w:t>
      </w:r>
      <w:r w:rsidR="00A5472F">
        <w:rPr>
          <w:rFonts w:cs="Times New Roman"/>
          <w:sz w:val="22"/>
          <w:szCs w:val="22"/>
        </w:rPr>
        <w:t>6</w:t>
      </w:r>
      <w:r w:rsidRPr="001F24FA">
        <w:rPr>
          <w:rFonts w:cs="Times New Roman"/>
          <w:sz w:val="22"/>
          <w:szCs w:val="22"/>
        </w:rPr>
        <w:t xml:space="preserve">» </w:t>
      </w:r>
      <w:r w:rsidR="00A5472F">
        <w:rPr>
          <w:rFonts w:cs="Times New Roman"/>
          <w:sz w:val="22"/>
          <w:szCs w:val="22"/>
        </w:rPr>
        <w:t>января</w:t>
      </w:r>
      <w:r w:rsidR="00721326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</w:t>
      </w:r>
      <w:r w:rsidR="00AB3DDB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  <w:bookmarkStart w:id="0" w:name="_GoBack"/>
      <w:bookmarkEnd w:id="0"/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1F24FA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1F24FA" w:rsidTr="005A3BA9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A3BA9" w:rsidRPr="001F24FA" w:rsidRDefault="005A3BA9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5A3BA9" w:rsidRPr="001F24FA" w:rsidRDefault="00696DE4" w:rsidP="005A3BA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Гемодиализ</w:t>
            </w:r>
          </w:p>
        </w:tc>
      </w:tr>
      <w:tr w:rsidR="005A3BA9" w:rsidRPr="001F24FA" w:rsidTr="000A27B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696DE4" w:rsidP="00696D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Высокопоточный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капилярный</w:t>
            </w:r>
            <w:proofErr w:type="spellEnd"/>
            <w:r>
              <w:rPr>
                <w:sz w:val="22"/>
                <w:szCs w:val="22"/>
              </w:rPr>
              <w:t xml:space="preserve"> диализатор с площадью мембраны 2,0-2,2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Тип-</w:t>
            </w:r>
            <w:proofErr w:type="spellStart"/>
            <w:r>
              <w:rPr>
                <w:sz w:val="22"/>
                <w:szCs w:val="22"/>
              </w:rPr>
              <w:t>капилярный</w:t>
            </w:r>
            <w:proofErr w:type="spellEnd"/>
            <w:r>
              <w:rPr>
                <w:sz w:val="22"/>
                <w:szCs w:val="22"/>
              </w:rPr>
              <w:t>. Синтетическая мембрана – сополимер полиамида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лощадь мембраны 2,0-2,2 м2. Объем заполнения не более 123 мл. Коэффициент ультрафильтрации (условия измерения: бычья кровь, гематокрит 32%, белок крови 60г/л, температура 37 С) от 14 до 16 мл/час * мм </w:t>
            </w:r>
            <w:proofErr w:type="spellStart"/>
            <w:r>
              <w:rPr>
                <w:sz w:val="22"/>
                <w:szCs w:val="22"/>
              </w:rPr>
              <w:t>рт.ст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КоА</w:t>
            </w:r>
            <w:proofErr w:type="spellEnd"/>
            <w:r>
              <w:rPr>
                <w:sz w:val="22"/>
                <w:szCs w:val="22"/>
              </w:rPr>
              <w:t xml:space="preserve"> для мочевины не менее 1265. Внутренний диаметр волокна не менее 215µm. Толщина стенки волокна не менее 50 µm. Максимальное трансмембранное давление не менее 600 мм </w:t>
            </w:r>
            <w:proofErr w:type="spellStart"/>
            <w:r>
              <w:rPr>
                <w:sz w:val="22"/>
                <w:szCs w:val="22"/>
              </w:rPr>
              <w:t>Hg</w:t>
            </w:r>
            <w:proofErr w:type="spellEnd"/>
            <w:r>
              <w:rPr>
                <w:sz w:val="22"/>
                <w:szCs w:val="22"/>
              </w:rPr>
              <w:t xml:space="preserve">. Клиренс веществ не менее: мочевина 275 мл/мин, </w:t>
            </w:r>
            <w:proofErr w:type="spellStart"/>
            <w:r>
              <w:rPr>
                <w:sz w:val="22"/>
                <w:szCs w:val="22"/>
              </w:rPr>
              <w:t>креатинин</w:t>
            </w:r>
            <w:proofErr w:type="spellEnd"/>
            <w:r>
              <w:rPr>
                <w:sz w:val="22"/>
                <w:szCs w:val="22"/>
              </w:rPr>
              <w:t xml:space="preserve"> 246 мл/мин, фосфаты 218 мл/мин, витамин В12 – 131 мл/мин. (при кровотоке 300 мл/мин, потоке диализата 500 мл/мин). Метод стерилизации: </w:t>
            </w:r>
            <w:proofErr w:type="spellStart"/>
            <w:r>
              <w:rPr>
                <w:sz w:val="22"/>
                <w:szCs w:val="22"/>
              </w:rPr>
              <w:t>автоклавирование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69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696DE4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696DE4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696DE4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1 999 600,00</w:t>
            </w:r>
          </w:p>
        </w:tc>
      </w:tr>
      <w:tr w:rsidR="005A3BA9" w:rsidRPr="001F24FA" w:rsidTr="005A3BA9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96DE4" w:rsidRDefault="00696DE4" w:rsidP="00696D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Капилярный</w:t>
            </w:r>
            <w:proofErr w:type="spellEnd"/>
            <w:r>
              <w:rPr>
                <w:sz w:val="22"/>
                <w:szCs w:val="22"/>
              </w:rPr>
              <w:t xml:space="preserve"> диализатор  </w:t>
            </w:r>
            <w:proofErr w:type="spellStart"/>
            <w:r>
              <w:rPr>
                <w:sz w:val="22"/>
                <w:szCs w:val="22"/>
              </w:rPr>
              <w:t>высокопоточный</w:t>
            </w:r>
            <w:proofErr w:type="spellEnd"/>
            <w:r>
              <w:rPr>
                <w:sz w:val="22"/>
                <w:szCs w:val="22"/>
              </w:rPr>
              <w:t xml:space="preserve">, стерильный, однократного применения. </w:t>
            </w:r>
          </w:p>
          <w:p w:rsidR="005A3BA9" w:rsidRDefault="00696DE4" w:rsidP="00D91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 ультрафильтрации – 54, площадь фильтрующей поверхности–1,0м2;  Метод стерилизации – паровая. Толщина стенки/ Внутренний диаметр волокна – 35/ 185 мкм. Диализатор капиллярный должна представлять собой прозрачный цилиндрический корпус из поликарбоната, заполненный </w:t>
            </w:r>
            <w:r>
              <w:rPr>
                <w:sz w:val="22"/>
                <w:szCs w:val="22"/>
              </w:rPr>
              <w:lastRenderedPageBreak/>
              <w:t xml:space="preserve">капиллярными фильтрами из полиуретана с резьбовыми фланцами и стерилизационными колпачками. </w:t>
            </w:r>
            <w:proofErr w:type="gramStart"/>
            <w:r>
              <w:rPr>
                <w:sz w:val="22"/>
                <w:szCs w:val="22"/>
              </w:rPr>
              <w:t xml:space="preserve">Диализаторы капиллярные - применяются для лечения гемодиализом больных с острой почечной недостаточностью, с терминальной стадией хронической почечной недостаточности и для экстракорпоральной </w:t>
            </w:r>
            <w:proofErr w:type="spellStart"/>
            <w:r>
              <w:rPr>
                <w:sz w:val="22"/>
                <w:szCs w:val="22"/>
              </w:rPr>
              <w:t>детоксикации</w:t>
            </w:r>
            <w:proofErr w:type="spellEnd"/>
            <w:r>
              <w:rPr>
                <w:sz w:val="22"/>
                <w:szCs w:val="22"/>
              </w:rPr>
              <w:t xml:space="preserve"> при различных видах отравлений, а также для проведения ультрафильтрации при наличии </w:t>
            </w:r>
            <w:proofErr w:type="spellStart"/>
            <w:r>
              <w:rPr>
                <w:sz w:val="22"/>
                <w:szCs w:val="22"/>
              </w:rPr>
              <w:t>гипергидратации</w:t>
            </w:r>
            <w:proofErr w:type="spellEnd"/>
            <w:r>
              <w:rPr>
                <w:sz w:val="22"/>
                <w:szCs w:val="22"/>
              </w:rPr>
              <w:t xml:space="preserve"> у больных с различными патологическими состояниями.</w:t>
            </w:r>
            <w:proofErr w:type="gramEnd"/>
          </w:p>
        </w:tc>
        <w:tc>
          <w:tcPr>
            <w:tcW w:w="1269" w:type="dxa"/>
            <w:shd w:val="clear" w:color="000000" w:fill="FFFFFF"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025873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025873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025873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185 400,00</w:t>
            </w:r>
          </w:p>
        </w:tc>
      </w:tr>
      <w:tr w:rsidR="005A3BA9" w:rsidRPr="001F24FA" w:rsidTr="005A3BA9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025873" w:rsidP="00025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Игла фистульная артериальная 15 G*25*300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025873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025873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025873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54 000,00 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025873" w:rsidP="00025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Игла фистульная венозная 15 G*25*300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025873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025873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7D3FAC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025873" w:rsidP="00025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</w:t>
            </w:r>
            <w:proofErr w:type="spellStart"/>
            <w:r>
              <w:rPr>
                <w:sz w:val="22"/>
                <w:szCs w:val="22"/>
              </w:rPr>
              <w:t>кровопроводящих</w:t>
            </w:r>
            <w:proofErr w:type="spellEnd"/>
            <w:r>
              <w:rPr>
                <w:sz w:val="22"/>
                <w:szCs w:val="22"/>
              </w:rPr>
              <w:t xml:space="preserve"> магистралей для гемодиализа стерильный, однократного применения. </w:t>
            </w:r>
            <w:proofErr w:type="spellStart"/>
            <w:r>
              <w:rPr>
                <w:sz w:val="22"/>
                <w:szCs w:val="22"/>
              </w:rPr>
              <w:t>Кровопроводящие</w:t>
            </w:r>
            <w:proofErr w:type="spellEnd"/>
            <w:r>
              <w:rPr>
                <w:sz w:val="22"/>
                <w:szCs w:val="22"/>
              </w:rPr>
              <w:t xml:space="preserve"> магистрали </w:t>
            </w:r>
            <w:proofErr w:type="gramStart"/>
            <w:r>
              <w:rPr>
                <w:sz w:val="22"/>
                <w:szCs w:val="22"/>
              </w:rPr>
              <w:t>в наборе артерия-вена для использования в аппаратах для гемодиализа при проведении</w:t>
            </w:r>
            <w:proofErr w:type="gramEnd"/>
            <w:r>
              <w:rPr>
                <w:sz w:val="22"/>
                <w:szCs w:val="22"/>
              </w:rPr>
              <w:t xml:space="preserve"> стандартной процедуры </w:t>
            </w:r>
            <w:proofErr w:type="spellStart"/>
            <w:r>
              <w:rPr>
                <w:sz w:val="22"/>
                <w:szCs w:val="22"/>
              </w:rPr>
              <w:t>гемодализа</w:t>
            </w:r>
            <w:proofErr w:type="spellEnd"/>
            <w:r>
              <w:rPr>
                <w:sz w:val="22"/>
                <w:szCs w:val="22"/>
              </w:rPr>
              <w:t xml:space="preserve">. Технические характеристики: тип материал: </w:t>
            </w:r>
            <w:proofErr w:type="spellStart"/>
            <w:r>
              <w:rPr>
                <w:sz w:val="22"/>
                <w:szCs w:val="22"/>
              </w:rPr>
              <w:t>кровопроводящая</w:t>
            </w:r>
            <w:proofErr w:type="spellEnd"/>
            <w:r>
              <w:rPr>
                <w:sz w:val="22"/>
                <w:szCs w:val="22"/>
              </w:rPr>
              <w:t xml:space="preserve"> магистраль: мягкий ПВХ медицинского предназначения. Коннекторы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объем наполнения 158 мл. Стерилизация </w:t>
            </w:r>
            <w:proofErr w:type="spellStart"/>
            <w:r>
              <w:rPr>
                <w:sz w:val="22"/>
                <w:szCs w:val="22"/>
              </w:rPr>
              <w:t>этиленоксидом</w:t>
            </w:r>
            <w:proofErr w:type="spellEnd"/>
            <w:r>
              <w:rPr>
                <w:sz w:val="22"/>
                <w:szCs w:val="22"/>
              </w:rPr>
              <w:t xml:space="preserve">. Разъемы должны быть выполнены типа </w:t>
            </w:r>
            <w:proofErr w:type="spellStart"/>
            <w:r>
              <w:rPr>
                <w:sz w:val="22"/>
                <w:szCs w:val="22"/>
              </w:rPr>
              <w:t>Luer-lock</w:t>
            </w:r>
            <w:proofErr w:type="spellEnd"/>
            <w:r>
              <w:rPr>
                <w:sz w:val="22"/>
                <w:szCs w:val="22"/>
              </w:rPr>
              <w:t xml:space="preserve"> и иметь цветную (</w:t>
            </w:r>
            <w:proofErr w:type="gramStart"/>
            <w:r>
              <w:rPr>
                <w:sz w:val="22"/>
                <w:szCs w:val="22"/>
              </w:rPr>
              <w:t>красную</w:t>
            </w:r>
            <w:proofErr w:type="gramEnd"/>
            <w:r>
              <w:rPr>
                <w:sz w:val="22"/>
                <w:szCs w:val="22"/>
              </w:rPr>
              <w:t>/синюю) маркировку.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644 570,00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025873" w:rsidP="00025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венозный катетер для гемодиализа </w:t>
            </w:r>
            <w:proofErr w:type="spellStart"/>
            <w:r>
              <w:rPr>
                <w:sz w:val="22"/>
                <w:szCs w:val="22"/>
              </w:rPr>
              <w:t>ренгеноконтрастный</w:t>
            </w:r>
            <w:proofErr w:type="spellEnd"/>
            <w:r>
              <w:rPr>
                <w:sz w:val="22"/>
                <w:szCs w:val="22"/>
              </w:rPr>
              <w:t xml:space="preserve"> 12 FR длина 20 см. </w:t>
            </w:r>
            <w:proofErr w:type="gramStart"/>
            <w:r>
              <w:rPr>
                <w:sz w:val="22"/>
                <w:szCs w:val="22"/>
              </w:rPr>
              <w:t>Стерильное</w:t>
            </w:r>
            <w:proofErr w:type="gramEnd"/>
            <w:r>
              <w:rPr>
                <w:sz w:val="22"/>
                <w:szCs w:val="22"/>
              </w:rPr>
              <w:t xml:space="preserve"> для однократного применения.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025873" w:rsidRDefault="00025873" w:rsidP="00025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>
              <w:rPr>
                <w:sz w:val="22"/>
                <w:szCs w:val="22"/>
              </w:rPr>
              <w:t>тепло-дезинфекции</w:t>
            </w:r>
            <w:proofErr w:type="gramEnd"/>
            <w:r>
              <w:rPr>
                <w:sz w:val="22"/>
                <w:szCs w:val="22"/>
              </w:rPr>
              <w:t xml:space="preserve">, очищенная, </w:t>
            </w:r>
            <w:proofErr w:type="spellStart"/>
            <w:r>
              <w:rPr>
                <w:sz w:val="22"/>
                <w:szCs w:val="22"/>
              </w:rPr>
              <w:t>декальцификации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гемодиализных</w:t>
            </w:r>
            <w:proofErr w:type="spellEnd"/>
            <w:r>
              <w:rPr>
                <w:sz w:val="22"/>
                <w:szCs w:val="22"/>
              </w:rPr>
              <w:t xml:space="preserve"> аппаратов, путем промывки. Эффективна при температурах от 60 до 83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в зависимости от рекомендаций производителей </w:t>
            </w:r>
            <w:proofErr w:type="spellStart"/>
            <w:r>
              <w:rPr>
                <w:sz w:val="22"/>
                <w:szCs w:val="22"/>
              </w:rPr>
              <w:t>гемодиализных</w:t>
            </w:r>
            <w:proofErr w:type="spellEnd"/>
            <w:r>
              <w:rPr>
                <w:sz w:val="22"/>
                <w:szCs w:val="22"/>
              </w:rPr>
              <w:t xml:space="preserve"> аппаратов. Оказывает бактерицидное, </w:t>
            </w:r>
            <w:proofErr w:type="spellStart"/>
            <w:r>
              <w:rPr>
                <w:sz w:val="22"/>
                <w:szCs w:val="22"/>
              </w:rPr>
              <w:t>фунгицидное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туберкулоцидное</w:t>
            </w:r>
            <w:proofErr w:type="spellEnd"/>
            <w:r>
              <w:rPr>
                <w:sz w:val="22"/>
                <w:szCs w:val="22"/>
              </w:rPr>
              <w:t xml:space="preserve">, противовирусное (в </w:t>
            </w:r>
            <w:proofErr w:type="spellStart"/>
            <w:r>
              <w:rPr>
                <w:sz w:val="22"/>
                <w:szCs w:val="22"/>
              </w:rPr>
              <w:t>тос</w:t>
            </w:r>
            <w:proofErr w:type="spellEnd"/>
            <w:r>
              <w:rPr>
                <w:sz w:val="22"/>
                <w:szCs w:val="22"/>
              </w:rPr>
              <w:t xml:space="preserve"> числе </w:t>
            </w:r>
            <w:proofErr w:type="spellStart"/>
            <w:r>
              <w:rPr>
                <w:sz w:val="22"/>
                <w:szCs w:val="22"/>
              </w:rPr>
              <w:t>Парвовирусы</w:t>
            </w:r>
            <w:proofErr w:type="spellEnd"/>
            <w:r>
              <w:rPr>
                <w:sz w:val="22"/>
                <w:szCs w:val="22"/>
              </w:rPr>
              <w:t>, Вирус Гепатита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, Вирус </w:t>
            </w:r>
            <w:r>
              <w:rPr>
                <w:sz w:val="22"/>
                <w:szCs w:val="22"/>
              </w:rPr>
              <w:lastRenderedPageBreak/>
              <w:t xml:space="preserve">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/мл. Состав: 1000 мл содержат 500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  <w:p w:rsidR="005A3BA9" w:rsidRDefault="005A3BA9" w:rsidP="008E1818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1818" w:rsidRDefault="00025873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02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6B21F2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 таблетирования для системы водоподготовки в мешках по 25кг (для гемодиализа)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4 975,00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6B21F2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Фильтр для диализной жидкости для </w:t>
            </w:r>
            <w:proofErr w:type="spellStart"/>
            <w:r>
              <w:rPr>
                <w:sz w:val="22"/>
                <w:szCs w:val="22"/>
              </w:rPr>
              <w:t>гемодиализного</w:t>
            </w:r>
            <w:proofErr w:type="spellEnd"/>
            <w:r>
              <w:rPr>
                <w:sz w:val="22"/>
                <w:szCs w:val="22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>
              <w:rPr>
                <w:sz w:val="22"/>
                <w:szCs w:val="22"/>
              </w:rPr>
              <w:t>ONLINEplus</w:t>
            </w:r>
            <w:proofErr w:type="spellEnd"/>
            <w:r>
              <w:rPr>
                <w:sz w:val="22"/>
                <w:szCs w:val="22"/>
              </w:rPr>
              <w:t xml:space="preserve"> процедур или </w:t>
            </w:r>
            <w:proofErr w:type="spellStart"/>
            <w:r>
              <w:rPr>
                <w:sz w:val="22"/>
                <w:szCs w:val="22"/>
              </w:rPr>
              <w:t>непрохождение</w:t>
            </w:r>
            <w:proofErr w:type="spellEnd"/>
            <w:r>
              <w:rPr>
                <w:sz w:val="22"/>
                <w:szCs w:val="22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>
              <w:rPr>
                <w:sz w:val="22"/>
                <w:szCs w:val="22"/>
              </w:rPr>
              <w:t>рт.ст</w:t>
            </w:r>
            <w:proofErr w:type="spellEnd"/>
            <w:r>
              <w:rPr>
                <w:sz w:val="22"/>
                <w:szCs w:val="22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>
              <w:rPr>
                <w:sz w:val="22"/>
                <w:szCs w:val="22"/>
              </w:rPr>
              <w:t>Lock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>. Площадь поверхности 2,2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 Вес 170 г,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1 044 000,00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B21F2" w:rsidRDefault="006B21F2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Расходный материал к аппарату </w:t>
            </w:r>
            <w:proofErr w:type="spellStart"/>
            <w:r>
              <w:rPr>
                <w:sz w:val="22"/>
                <w:szCs w:val="22"/>
              </w:rPr>
              <w:t>плазмофереза</w:t>
            </w:r>
            <w:proofErr w:type="spellEnd"/>
            <w:r>
              <w:rPr>
                <w:sz w:val="22"/>
                <w:szCs w:val="22"/>
              </w:rPr>
              <w:t xml:space="preserve"> PCS-2 в комплекте.</w:t>
            </w:r>
          </w:p>
          <w:p w:rsidR="005A3BA9" w:rsidRDefault="006B21F2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Расходный материал к аппарату </w:t>
            </w:r>
            <w:proofErr w:type="spellStart"/>
            <w:r>
              <w:rPr>
                <w:sz w:val="22"/>
                <w:szCs w:val="22"/>
              </w:rPr>
              <w:t>плазмафереза</w:t>
            </w:r>
            <w:proofErr w:type="spellEnd"/>
            <w:r>
              <w:rPr>
                <w:sz w:val="22"/>
                <w:szCs w:val="22"/>
              </w:rPr>
              <w:t xml:space="preserve"> в комплекте: Одноразовый комплект расходных </w:t>
            </w:r>
            <w:proofErr w:type="gramStart"/>
            <w:r>
              <w:rPr>
                <w:sz w:val="22"/>
                <w:szCs w:val="22"/>
              </w:rPr>
              <w:t>материалов</w:t>
            </w:r>
            <w:proofErr w:type="gramEnd"/>
            <w:r>
              <w:rPr>
                <w:sz w:val="22"/>
                <w:szCs w:val="22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Default="00344C26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B21F2" w:rsidRDefault="006B21F2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sz w:val="22"/>
                <w:szCs w:val="22"/>
              </w:rPr>
              <w:t>нефростомии</w:t>
            </w:r>
            <w:proofErr w:type="spellEnd"/>
            <w:r>
              <w:rPr>
                <w:sz w:val="22"/>
                <w:szCs w:val="22"/>
              </w:rPr>
              <w:t xml:space="preserve">  стерильный.</w:t>
            </w:r>
          </w:p>
          <w:p w:rsidR="00344C26" w:rsidRDefault="006B21F2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Пункционная канюля. Набор для выполнения </w:t>
            </w:r>
            <w:proofErr w:type="gramStart"/>
            <w:r>
              <w:rPr>
                <w:sz w:val="22"/>
                <w:szCs w:val="22"/>
              </w:rPr>
              <w:t>трехэтапной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чрезкожной</w:t>
            </w:r>
            <w:proofErr w:type="spellEnd"/>
            <w:r>
              <w:rPr>
                <w:sz w:val="22"/>
                <w:szCs w:val="22"/>
              </w:rPr>
              <w:t xml:space="preserve"> пункционной </w:t>
            </w:r>
            <w:proofErr w:type="spellStart"/>
            <w:r>
              <w:rPr>
                <w:sz w:val="22"/>
                <w:szCs w:val="22"/>
              </w:rPr>
              <w:t>нефростомии</w:t>
            </w:r>
            <w:proofErr w:type="spellEnd"/>
            <w:r>
              <w:rPr>
                <w:sz w:val="22"/>
                <w:szCs w:val="22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длиной 200 мм. Жесткая струна-</w:t>
            </w:r>
            <w:r>
              <w:rPr>
                <w:sz w:val="22"/>
                <w:szCs w:val="22"/>
              </w:rPr>
              <w:lastRenderedPageBreak/>
              <w:t xml:space="preserve">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>
              <w:rPr>
                <w:sz w:val="22"/>
                <w:szCs w:val="22"/>
              </w:rPr>
              <w:t>рентгенконтрастный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  <w:proofErr w:type="spellStart"/>
            <w:r>
              <w:rPr>
                <w:sz w:val="22"/>
                <w:szCs w:val="22"/>
              </w:rPr>
              <w:t>Нефростомический</w:t>
            </w:r>
            <w:proofErr w:type="spellEnd"/>
            <w:r>
              <w:rPr>
                <w:sz w:val="22"/>
                <w:szCs w:val="22"/>
              </w:rPr>
              <w:t xml:space="preserve"> катетер с завитком типа </w:t>
            </w:r>
            <w:proofErr w:type="spellStart"/>
            <w:r>
              <w:rPr>
                <w:sz w:val="22"/>
                <w:szCs w:val="22"/>
              </w:rPr>
              <w:t>Пигтейл</w:t>
            </w:r>
            <w:proofErr w:type="spellEnd"/>
            <w:r>
              <w:rPr>
                <w:sz w:val="22"/>
                <w:szCs w:val="22"/>
              </w:rPr>
              <w:t xml:space="preserve">, изготовленный из полиуретана, </w:t>
            </w:r>
            <w:proofErr w:type="spellStart"/>
            <w:r>
              <w:rPr>
                <w:sz w:val="22"/>
                <w:szCs w:val="22"/>
              </w:rPr>
              <w:t>рентгенконтрастный</w:t>
            </w:r>
            <w:proofErr w:type="spellEnd"/>
            <w:r>
              <w:rPr>
                <w:sz w:val="22"/>
                <w:szCs w:val="22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>
              <w:rPr>
                <w:sz w:val="22"/>
                <w:szCs w:val="22"/>
              </w:rPr>
              <w:t>Luer-Lock</w:t>
            </w:r>
            <w:proofErr w:type="spellEnd"/>
            <w:r>
              <w:rPr>
                <w:sz w:val="22"/>
                <w:szCs w:val="22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C26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1 196 000,00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Default="00344C26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B21F2" w:rsidRDefault="006B21F2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sz w:val="22"/>
                <w:szCs w:val="22"/>
              </w:rPr>
              <w:t>цистостомии</w:t>
            </w:r>
            <w:proofErr w:type="spellEnd"/>
            <w:r>
              <w:rPr>
                <w:sz w:val="22"/>
                <w:szCs w:val="22"/>
              </w:rPr>
              <w:t xml:space="preserve">, стерильный, однократного применения, размером 12F и 14F, длиной 45 см. </w:t>
            </w:r>
          </w:p>
          <w:p w:rsidR="00344C26" w:rsidRPr="00344C26" w:rsidRDefault="006B21F2" w:rsidP="006B21F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создания хирургическим путем искусственного надлобкового </w:t>
            </w:r>
            <w:proofErr w:type="spellStart"/>
            <w:r>
              <w:rPr>
                <w:sz w:val="22"/>
                <w:szCs w:val="22"/>
              </w:rPr>
              <w:t>мочепузырного</w:t>
            </w:r>
            <w:proofErr w:type="spellEnd"/>
            <w:r>
              <w:rPr>
                <w:sz w:val="22"/>
                <w:szCs w:val="22"/>
              </w:rPr>
              <w:t xml:space="preserve"> свища. Изделие асептическое, </w:t>
            </w:r>
            <w:proofErr w:type="spellStart"/>
            <w:r>
              <w:rPr>
                <w:sz w:val="22"/>
                <w:szCs w:val="22"/>
              </w:rPr>
              <w:t>апирогенное</w:t>
            </w:r>
            <w:proofErr w:type="spellEnd"/>
            <w:r>
              <w:rPr>
                <w:sz w:val="22"/>
                <w:szCs w:val="22"/>
              </w:rPr>
              <w:t xml:space="preserve">, стерилизованное </w:t>
            </w:r>
            <w:proofErr w:type="spellStart"/>
            <w:r>
              <w:rPr>
                <w:sz w:val="22"/>
                <w:szCs w:val="22"/>
              </w:rPr>
              <w:t>этиленоксидом</w:t>
            </w:r>
            <w:proofErr w:type="spellEnd"/>
            <w:r>
              <w:rPr>
                <w:sz w:val="22"/>
                <w:szCs w:val="22"/>
              </w:rPr>
              <w:t>, нетоксичное, одноразового использования. Катетер сделан из полиуретана высшего качества, покрыт силиконом. Качество материала обеспечивает оптимально длительное время нахождения введенного  катетера.</w:t>
            </w:r>
            <w:r>
              <w:rPr>
                <w:sz w:val="22"/>
                <w:szCs w:val="22"/>
              </w:rPr>
              <w:br/>
              <w:t xml:space="preserve">Катетер </w:t>
            </w:r>
            <w:proofErr w:type="spellStart"/>
            <w:r>
              <w:rPr>
                <w:sz w:val="22"/>
                <w:szCs w:val="22"/>
              </w:rPr>
              <w:t>Pigtail</w:t>
            </w:r>
            <w:proofErr w:type="spellEnd"/>
            <w:r>
              <w:rPr>
                <w:sz w:val="22"/>
                <w:szCs w:val="22"/>
              </w:rPr>
              <w:t xml:space="preserve"> 12F или 14F длиной 45 см, Разрывная </w:t>
            </w:r>
            <w:proofErr w:type="spellStart"/>
            <w:r>
              <w:rPr>
                <w:sz w:val="22"/>
                <w:szCs w:val="22"/>
              </w:rPr>
              <w:t>иглаөинтродьюсер</w:t>
            </w:r>
            <w:proofErr w:type="spellEnd"/>
            <w:r>
              <w:rPr>
                <w:sz w:val="22"/>
                <w:szCs w:val="22"/>
              </w:rPr>
              <w:t xml:space="preserve"> 12F или 14F, длиной 120 мм, Кожный фиксатор, Шприц 10 мл, Скальпель, Зажим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C26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522 000,00</w:t>
            </w:r>
          </w:p>
        </w:tc>
      </w:tr>
      <w:tr w:rsidR="006B21F2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6B21F2" w:rsidRDefault="006B21F2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B21F2" w:rsidRPr="00344C26" w:rsidRDefault="006B21F2" w:rsidP="006B21F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Режущая петля биполярная угловая 24 </w:t>
            </w:r>
            <w:proofErr w:type="spellStart"/>
            <w:r>
              <w:rPr>
                <w:sz w:val="22"/>
                <w:szCs w:val="22"/>
              </w:rPr>
              <w:t>Шр</w:t>
            </w:r>
            <w:proofErr w:type="spellEnd"/>
            <w:r>
              <w:rPr>
                <w:sz w:val="22"/>
                <w:szCs w:val="22"/>
              </w:rPr>
              <w:t xml:space="preserve">. Петля, биполярная, 24 </w:t>
            </w:r>
            <w:proofErr w:type="spellStart"/>
            <w:r>
              <w:rPr>
                <w:sz w:val="22"/>
                <w:szCs w:val="22"/>
              </w:rPr>
              <w:t>Шр</w:t>
            </w:r>
            <w:proofErr w:type="spellEnd"/>
            <w:r>
              <w:rPr>
                <w:sz w:val="22"/>
                <w:szCs w:val="22"/>
              </w:rPr>
              <w:t xml:space="preserve">., для использования с оптикой HOPKINS® 27005FA/BA рабочим элементом </w:t>
            </w:r>
            <w:proofErr w:type="spellStart"/>
            <w:r>
              <w:rPr>
                <w:sz w:val="22"/>
                <w:szCs w:val="22"/>
              </w:rPr>
              <w:t>резектоскопа</w:t>
            </w:r>
            <w:proofErr w:type="spellEnd"/>
            <w:r>
              <w:rPr>
                <w:sz w:val="22"/>
                <w:szCs w:val="22"/>
              </w:rPr>
              <w:t xml:space="preserve"> производства KARL STORZ.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 Упаковка №6.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B21F2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B21F2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B21F2" w:rsidRDefault="006B21F2" w:rsidP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117 750,00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B21F2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1 413 000,00</w:t>
            </w:r>
          </w:p>
        </w:tc>
      </w:tr>
      <w:tr w:rsidR="006B21F2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6B21F2" w:rsidRDefault="006B21F2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B21F2" w:rsidRPr="006B21F2" w:rsidRDefault="006B21F2" w:rsidP="00A22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Биполярный шнур для </w:t>
            </w:r>
            <w:proofErr w:type="spellStart"/>
            <w:r>
              <w:rPr>
                <w:sz w:val="22"/>
                <w:szCs w:val="22"/>
              </w:rPr>
              <w:t>резектоскопа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6B21F2" w:rsidRPr="006B21F2" w:rsidRDefault="006B21F2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Высокочастотный биполярный шнур, длина 400 см, для </w:t>
            </w:r>
            <w:proofErr w:type="spellStart"/>
            <w:r>
              <w:rPr>
                <w:sz w:val="22"/>
                <w:szCs w:val="22"/>
              </w:rPr>
              <w:t>резектоскопа</w:t>
            </w:r>
            <w:proofErr w:type="spellEnd"/>
            <w:r>
              <w:rPr>
                <w:sz w:val="22"/>
                <w:szCs w:val="22"/>
              </w:rPr>
              <w:t xml:space="preserve">  производства KARL STORZ.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B21F2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B21F2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B21F2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B21F2" w:rsidRDefault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582 750,00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6B21F2">
        <w:rPr>
          <w:rFonts w:cs="Times New Roman"/>
          <w:sz w:val="22"/>
          <w:szCs w:val="22"/>
          <w:lang w:val="kk-KZ"/>
        </w:rPr>
        <w:t>11 534 320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6B21F2" w:rsidRPr="006B21F2">
        <w:rPr>
          <w:rFonts w:cs="Times New Roman"/>
          <w:sz w:val="22"/>
          <w:szCs w:val="22"/>
        </w:rPr>
        <w:t>одиннадцать миллионов пятьсот тридцать четыре тысячи триста двадцать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lastRenderedPageBreak/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A5472F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0</w:t>
      </w:r>
      <w:r w:rsidR="00A5472F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5F237D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F237D">
        <w:rPr>
          <w:rFonts w:cs="Times New Roman"/>
          <w:sz w:val="22"/>
          <w:szCs w:val="22"/>
        </w:rPr>
        <w:t>0</w:t>
      </w:r>
      <w:r w:rsidR="00A5472F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A5472F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2021</w:t>
      </w:r>
      <w:r w:rsidR="00F40106">
        <w:rPr>
          <w:rFonts w:cs="Times New Roman"/>
          <w:sz w:val="22"/>
          <w:szCs w:val="22"/>
        </w:rPr>
        <w:t>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6B21F2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A5472F">
        <w:rPr>
          <w:rFonts w:cs="Times New Roman"/>
          <w:sz w:val="22"/>
          <w:szCs w:val="22"/>
          <w:lang w:val="kk-KZ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</w:t>
      </w:r>
      <w:r w:rsidRPr="001F24FA">
        <w:rPr>
          <w:rStyle w:val="s0"/>
          <w:color w:val="auto"/>
          <w:sz w:val="22"/>
          <w:szCs w:val="22"/>
        </w:rPr>
        <w:lastRenderedPageBreak/>
        <w:t>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5873"/>
    <w:rsid w:val="00056832"/>
    <w:rsid w:val="0009393C"/>
    <w:rsid w:val="000A1533"/>
    <w:rsid w:val="000A27B1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4C26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96DE4"/>
    <w:rsid w:val="006B21F2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8E181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9E4B63"/>
    <w:rsid w:val="00A10B87"/>
    <w:rsid w:val="00A144EC"/>
    <w:rsid w:val="00A22D44"/>
    <w:rsid w:val="00A332A8"/>
    <w:rsid w:val="00A4250E"/>
    <w:rsid w:val="00A46BA5"/>
    <w:rsid w:val="00A534D2"/>
    <w:rsid w:val="00A5472F"/>
    <w:rsid w:val="00A85D9B"/>
    <w:rsid w:val="00A966A6"/>
    <w:rsid w:val="00AA1CC0"/>
    <w:rsid w:val="00AA2089"/>
    <w:rsid w:val="00AB3DDB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1F90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40106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7DFB-8AED-4ACA-9B92-7A19112A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6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84</cp:revision>
  <cp:lastPrinted>2020-12-25T06:30:00Z</cp:lastPrinted>
  <dcterms:created xsi:type="dcterms:W3CDTF">2019-01-15T05:22:00Z</dcterms:created>
  <dcterms:modified xsi:type="dcterms:W3CDTF">2021-01-26T09:22:00Z</dcterms:modified>
</cp:coreProperties>
</file>