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E207F5">
        <w:rPr>
          <w:rFonts w:cs="Times New Roman"/>
          <w:lang w:val="kk-KZ"/>
        </w:rPr>
        <w:t>11</w:t>
      </w:r>
      <w:r w:rsidR="0023140D" w:rsidRPr="00237505">
        <w:rPr>
          <w:rFonts w:cs="Times New Roman"/>
        </w:rPr>
        <w:t>:</w:t>
      </w:r>
      <w:r w:rsidR="00E207F5">
        <w:rPr>
          <w:rFonts w:cs="Times New Roman"/>
          <w:lang w:val="kk-KZ"/>
        </w:rPr>
        <w:t>3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E207F5">
        <w:rPr>
          <w:rFonts w:cs="Times New Roman"/>
          <w:sz w:val="22"/>
          <w:szCs w:val="22"/>
          <w:lang w:val="kk-KZ"/>
        </w:rPr>
        <w:t>11 534 320</w:t>
      </w:r>
      <w:r w:rsidR="00921393">
        <w:rPr>
          <w:rFonts w:cs="Times New Roman"/>
          <w:sz w:val="22"/>
          <w:szCs w:val="22"/>
          <w:lang w:val="kk-KZ"/>
        </w:rPr>
        <w:t>,</w:t>
      </w:r>
      <w:r w:rsidR="00F32782">
        <w:rPr>
          <w:rFonts w:cs="Times New Roman"/>
          <w:sz w:val="22"/>
          <w:szCs w:val="22"/>
        </w:rPr>
        <w:t>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E207F5">
        <w:rPr>
          <w:rFonts w:cs="Times New Roman"/>
          <w:sz w:val="22"/>
          <w:szCs w:val="22"/>
          <w:lang w:val="kk-KZ"/>
        </w:rPr>
        <w:t>одинадцать миллионов пятьсот тридцать четыре тысячи триста двадцать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921393" w:rsidRDefault="0092139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E207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="00E207F5">
              <w:rPr>
                <w:rFonts w:cs="Times New Roman"/>
                <w:sz w:val="23"/>
                <w:szCs w:val="23"/>
                <w:lang w:val="en-US"/>
              </w:rPr>
              <w:t>Dariya</w:t>
            </w:r>
            <w:proofErr w:type="spellEnd"/>
            <w:r w:rsidR="00E207F5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207F5">
              <w:rPr>
                <w:rFonts w:cs="Times New Roman"/>
                <w:sz w:val="23"/>
                <w:szCs w:val="23"/>
                <w:lang w:val="en-US"/>
              </w:rPr>
              <w:t>medica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E207F5" w:rsidRDefault="005B799C" w:rsidP="00E207F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</w:t>
            </w:r>
            <w:r w:rsidR="00E207F5">
              <w:rPr>
                <w:rFonts w:cs="Times New Roman"/>
                <w:sz w:val="23"/>
                <w:szCs w:val="23"/>
                <w:lang w:val="kk-KZ"/>
              </w:rPr>
              <w:t>Зенкова, 86, кв 60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E207F5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27</w:t>
            </w:r>
            <w:r w:rsidR="005B799C" w:rsidRPr="001B4E94">
              <w:rPr>
                <w:rFonts w:cs="Times New Roman"/>
              </w:rPr>
              <w:t>.01.2021г.</w:t>
            </w:r>
          </w:p>
          <w:p w:rsidR="005B799C" w:rsidRPr="001B4E94" w:rsidRDefault="00F32782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207F5">
              <w:rPr>
                <w:rFonts w:cs="Times New Roman"/>
                <w:lang w:val="kk-KZ"/>
              </w:rPr>
              <w:t>6</w:t>
            </w:r>
            <w:r>
              <w:rPr>
                <w:rFonts w:cs="Times New Roman"/>
              </w:rPr>
              <w:t>:</w:t>
            </w:r>
            <w:r w:rsidR="00E207F5">
              <w:rPr>
                <w:rFonts w:cs="Times New Roman"/>
                <w:lang w:val="kk-KZ"/>
              </w:rPr>
              <w:t>07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  <w:tr w:rsidR="00E207F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E207F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E207F5" w:rsidRDefault="00E207F5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Medicus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E207F5" w:rsidRDefault="00E207F5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Алматинская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облась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cs="Times New Roman"/>
                <w:sz w:val="23"/>
                <w:szCs w:val="23"/>
              </w:rPr>
              <w:t>.О</w:t>
            </w:r>
            <w:proofErr w:type="gramEnd"/>
            <w:r>
              <w:rPr>
                <w:rFonts w:cs="Times New Roman"/>
                <w:sz w:val="23"/>
                <w:szCs w:val="23"/>
              </w:rPr>
              <w:t>теген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-Батыр,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ул.Калинина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 офис 711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1B4E94" w:rsidRDefault="00E207F5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E207F5" w:rsidRPr="001B4E94" w:rsidRDefault="00E207F5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10:35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E207F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E207F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5B1CA9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Med Life Sciences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5B1CA9" w:rsidRDefault="005B1CA9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ул. </w:t>
            </w:r>
            <w:proofErr w:type="spellStart"/>
            <w:r>
              <w:rPr>
                <w:rFonts w:cs="Times New Roman"/>
                <w:sz w:val="23"/>
                <w:szCs w:val="23"/>
              </w:rPr>
              <w:t>Шегабутдинова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уг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. Карасай батыр 103-106 </w:t>
            </w:r>
            <w:proofErr w:type="spellStart"/>
            <w:r>
              <w:rPr>
                <w:rFonts w:cs="Times New Roman"/>
                <w:sz w:val="23"/>
                <w:szCs w:val="23"/>
              </w:rPr>
              <w:t>кв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1B4E94" w:rsidRDefault="005B1CA9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207F5"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="00E207F5" w:rsidRPr="001B4E94">
              <w:rPr>
                <w:rFonts w:cs="Times New Roman"/>
              </w:rPr>
              <w:t>.2021г.</w:t>
            </w:r>
          </w:p>
          <w:p w:rsidR="00E207F5" w:rsidRPr="001B4E94" w:rsidRDefault="00E207F5" w:rsidP="005B1C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B1CA9">
              <w:rPr>
                <w:rFonts w:cs="Times New Roman"/>
              </w:rPr>
              <w:t>5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5B1CA9">
              <w:rPr>
                <w:rFonts w:cs="Times New Roman"/>
                <w:lang w:val="kk-KZ"/>
              </w:rPr>
              <w:t>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E207F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E207F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5B1CA9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ML Medical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5B1CA9" w:rsidRDefault="005B1CA9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Шакарима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1B4E94" w:rsidRDefault="005B1CA9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207F5"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="00E207F5" w:rsidRPr="001B4E94">
              <w:rPr>
                <w:rFonts w:cs="Times New Roman"/>
              </w:rPr>
              <w:t>.2021г.</w:t>
            </w:r>
          </w:p>
          <w:p w:rsidR="00E207F5" w:rsidRPr="001B4E94" w:rsidRDefault="00E207F5" w:rsidP="005B1CA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B1CA9">
              <w:rPr>
                <w:rFonts w:cs="Times New Roman"/>
              </w:rPr>
              <w:t>5</w:t>
            </w:r>
            <w:r>
              <w:rPr>
                <w:rFonts w:cs="Times New Roman"/>
              </w:rPr>
              <w:t>:</w:t>
            </w:r>
            <w:r w:rsidR="005B1CA9">
              <w:rPr>
                <w:rFonts w:cs="Times New Roman"/>
              </w:rPr>
              <w:t>14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  <w:sectPr w:rsidR="00F32782" w:rsidRPr="005B799C" w:rsidSect="0092139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64"/>
        <w:gridCol w:w="993"/>
        <w:gridCol w:w="708"/>
        <w:gridCol w:w="1134"/>
        <w:gridCol w:w="1134"/>
        <w:gridCol w:w="1134"/>
        <w:gridCol w:w="993"/>
        <w:gridCol w:w="992"/>
      </w:tblGrid>
      <w:tr w:rsidR="005B1CA9" w:rsidRPr="005B1CA9" w:rsidTr="009C0F10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Pr="005B799C" w:rsidRDefault="005B1CA9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9C0F10" w:rsidRDefault="005B1CA9" w:rsidP="005B1CA9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9C0F10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>Dariya</w:t>
            </w:r>
            <w:proofErr w:type="spellEnd"/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>medica</w:t>
            </w:r>
            <w:proofErr w:type="spellEnd"/>
            <w:r w:rsidRPr="009C0F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:rsidR="005B1CA9" w:rsidRPr="009C0F10" w:rsidRDefault="005B1CA9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9C0F10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>Medicus</w:t>
            </w:r>
            <w:proofErr w:type="spellEnd"/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 xml:space="preserve"> M</w:t>
            </w:r>
            <w:r w:rsidRPr="009C0F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000000" w:fill="FFFFFF"/>
          </w:tcPr>
          <w:p w:rsidR="005B1CA9" w:rsidRPr="009C0F10" w:rsidRDefault="005B1CA9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>Med Life Sciences</w:t>
            </w: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5B1CA9" w:rsidRPr="009C0F10" w:rsidRDefault="005B1CA9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9C0F10">
              <w:rPr>
                <w:rFonts w:cs="Times New Roman"/>
                <w:b/>
                <w:sz w:val="20"/>
                <w:szCs w:val="20"/>
                <w:lang w:val="en-US"/>
              </w:rPr>
              <w:t>ML Medical</w:t>
            </w:r>
            <w:r w:rsidRPr="009C0F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5B1CA9" w:rsidRPr="001F24FA" w:rsidRDefault="005B1CA9" w:rsidP="00E207F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352" w:type="dxa"/>
            <w:gridSpan w:val="8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Гемодиализ</w:t>
            </w: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Pr="001F24FA" w:rsidRDefault="005B1CA9" w:rsidP="00E207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Высокопоточный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 xml:space="preserve"> диализатор с площадью мембраны 2,0-2,2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Тип-</w:t>
            </w: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>. Синтетическая мембрана – сополимер полиамида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КоА</w:t>
            </w:r>
            <w:proofErr w:type="spellEnd"/>
            <w:r>
              <w:rPr>
                <w:sz w:val="22"/>
                <w:szCs w:val="22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>
              <w:rPr>
                <w:sz w:val="22"/>
                <w:szCs w:val="22"/>
              </w:rPr>
              <w:t>Hg</w:t>
            </w:r>
            <w:proofErr w:type="spellEnd"/>
            <w:r>
              <w:rPr>
                <w:sz w:val="22"/>
                <w:szCs w:val="22"/>
              </w:rPr>
              <w:t xml:space="preserve">. Клиренс веществ не менее: мочевина 275 мл/мин, </w:t>
            </w:r>
            <w:proofErr w:type="spellStart"/>
            <w:r>
              <w:rPr>
                <w:sz w:val="22"/>
                <w:szCs w:val="22"/>
              </w:rPr>
              <w:t>креатинин</w:t>
            </w:r>
            <w:proofErr w:type="spellEnd"/>
            <w:r>
              <w:rPr>
                <w:sz w:val="22"/>
                <w:szCs w:val="22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>
              <w:rPr>
                <w:sz w:val="22"/>
                <w:szCs w:val="22"/>
              </w:rPr>
              <w:t>автоклавирование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0F10" w:rsidRDefault="009C0F10" w:rsidP="008528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D32BCB" w:rsidP="00D32BC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4 999,00</w:t>
            </w:r>
          </w:p>
        </w:tc>
      </w:tr>
      <w:tr w:rsidR="005B1CA9" w:rsidRPr="005B799C" w:rsidTr="00A8684D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Pr="001F24FA" w:rsidRDefault="005B1CA9" w:rsidP="00E207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Капилярный</w:t>
            </w:r>
            <w:proofErr w:type="spellEnd"/>
            <w:r>
              <w:rPr>
                <w:sz w:val="22"/>
                <w:szCs w:val="22"/>
              </w:rPr>
              <w:t xml:space="preserve"> диализатор  </w:t>
            </w:r>
            <w:proofErr w:type="spellStart"/>
            <w:r>
              <w:rPr>
                <w:sz w:val="22"/>
                <w:szCs w:val="22"/>
              </w:rPr>
              <w:t>высокопоточный</w:t>
            </w:r>
            <w:proofErr w:type="spellEnd"/>
            <w:r>
              <w:rPr>
                <w:sz w:val="22"/>
                <w:szCs w:val="22"/>
              </w:rPr>
              <w:t xml:space="preserve">, стерильный, однократного применения. </w:t>
            </w:r>
          </w:p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ультрафильтрации – 54, площадь фильтрующей поверхности–1,0м2; 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</w:t>
            </w:r>
            <w:proofErr w:type="gramStart"/>
            <w:r>
              <w:rPr>
                <w:sz w:val="22"/>
                <w:szCs w:val="22"/>
              </w:rPr>
              <w:t xml:space="preserve">Диализаторы капиллярные - применяются для лечения гемодиализом больных с острой почечной недостаточностью, с </w:t>
            </w:r>
            <w:r>
              <w:rPr>
                <w:sz w:val="22"/>
                <w:szCs w:val="22"/>
              </w:rPr>
              <w:lastRenderedPageBreak/>
              <w:t xml:space="preserve">терминальной стадией хронической почечной недостаточности и для экстракорпоральной </w:t>
            </w:r>
            <w:proofErr w:type="spellStart"/>
            <w:r>
              <w:rPr>
                <w:sz w:val="22"/>
                <w:szCs w:val="22"/>
              </w:rPr>
              <w:t>детоксикации</w:t>
            </w:r>
            <w:proofErr w:type="spellEnd"/>
            <w:r>
              <w:rPr>
                <w:sz w:val="22"/>
                <w:szCs w:val="22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>
              <w:rPr>
                <w:sz w:val="22"/>
                <w:szCs w:val="22"/>
              </w:rPr>
              <w:t>гипергидратации</w:t>
            </w:r>
            <w:proofErr w:type="spellEnd"/>
            <w:r>
              <w:rPr>
                <w:sz w:val="22"/>
                <w:szCs w:val="22"/>
              </w:rPr>
              <w:t xml:space="preserve"> у больных с различными патологическими состояниями.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A8684D" w:rsidP="00A868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6 180,00</w:t>
            </w:r>
          </w:p>
        </w:tc>
      </w:tr>
      <w:tr w:rsidR="005B1CA9" w:rsidRPr="005B799C" w:rsidTr="00A8684D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Pr="001F24FA" w:rsidRDefault="005B1CA9" w:rsidP="00E207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Игла фистульная артериальная 15 G*25*300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A8684D" w:rsidP="00A868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180,00</w:t>
            </w:r>
          </w:p>
        </w:tc>
      </w:tr>
      <w:tr w:rsidR="005B1CA9" w:rsidRPr="005B799C" w:rsidTr="00A8684D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Pr="001F24FA" w:rsidRDefault="005B1CA9" w:rsidP="00E207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Игла фистульная венозная 15 G*25*300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A8684D" w:rsidP="00A868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180,00</w:t>
            </w:r>
          </w:p>
        </w:tc>
      </w:tr>
      <w:tr w:rsidR="005B1CA9" w:rsidRPr="005B799C" w:rsidTr="00A8684D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Pr="007D3FAC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</w:t>
            </w:r>
            <w:proofErr w:type="spellStart"/>
            <w:r>
              <w:rPr>
                <w:sz w:val="22"/>
                <w:szCs w:val="22"/>
              </w:rPr>
              <w:t>кровопроводящих</w:t>
            </w:r>
            <w:proofErr w:type="spellEnd"/>
            <w:r>
              <w:rPr>
                <w:sz w:val="22"/>
                <w:szCs w:val="22"/>
              </w:rPr>
              <w:t xml:space="preserve"> магистралей для гемодиализа стерильный, однократного применения. </w:t>
            </w:r>
            <w:proofErr w:type="spellStart"/>
            <w:r>
              <w:rPr>
                <w:sz w:val="22"/>
                <w:szCs w:val="22"/>
              </w:rPr>
              <w:t>Кровопроводящие</w:t>
            </w:r>
            <w:proofErr w:type="spellEnd"/>
            <w:r>
              <w:rPr>
                <w:sz w:val="22"/>
                <w:szCs w:val="22"/>
              </w:rPr>
              <w:t xml:space="preserve"> магистрали </w:t>
            </w:r>
            <w:proofErr w:type="gramStart"/>
            <w:r>
              <w:rPr>
                <w:sz w:val="22"/>
                <w:szCs w:val="22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>
              <w:rPr>
                <w:sz w:val="22"/>
                <w:szCs w:val="22"/>
              </w:rPr>
              <w:t xml:space="preserve"> стандартной процедуры </w:t>
            </w:r>
            <w:proofErr w:type="spellStart"/>
            <w:r>
              <w:rPr>
                <w:sz w:val="22"/>
                <w:szCs w:val="22"/>
              </w:rPr>
              <w:t>гемодализа</w:t>
            </w:r>
            <w:proofErr w:type="spellEnd"/>
            <w:r>
              <w:rPr>
                <w:sz w:val="22"/>
                <w:szCs w:val="22"/>
              </w:rPr>
              <w:t xml:space="preserve">. Технические характеристики: тип материал: </w:t>
            </w:r>
            <w:proofErr w:type="spellStart"/>
            <w:r>
              <w:rPr>
                <w:sz w:val="22"/>
                <w:szCs w:val="22"/>
              </w:rPr>
              <w:t>кровопроводящая</w:t>
            </w:r>
            <w:proofErr w:type="spellEnd"/>
            <w:r>
              <w:rPr>
                <w:sz w:val="22"/>
                <w:szCs w:val="22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 xml:space="preserve">. Разъемы должны быть выполнены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 xml:space="preserve"> и иметь цветную (</w:t>
            </w:r>
            <w:proofErr w:type="gramStart"/>
            <w:r>
              <w:rPr>
                <w:sz w:val="22"/>
                <w:szCs w:val="22"/>
              </w:rPr>
              <w:t>красную</w:t>
            </w:r>
            <w:proofErr w:type="gramEnd"/>
            <w:r>
              <w:rPr>
                <w:sz w:val="22"/>
                <w:szCs w:val="22"/>
              </w:rPr>
              <w:t>/синюю) маркировку.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A8684D" w:rsidP="00A868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1 499,00</w:t>
            </w: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венозный катетер для гемодиализа </w:t>
            </w:r>
            <w:proofErr w:type="spellStart"/>
            <w:r>
              <w:rPr>
                <w:sz w:val="22"/>
                <w:szCs w:val="22"/>
              </w:rPr>
              <w:t>ренгеноконтрастный</w:t>
            </w:r>
            <w:proofErr w:type="spellEnd"/>
            <w:r>
              <w:rPr>
                <w:sz w:val="22"/>
                <w:szCs w:val="22"/>
              </w:rPr>
              <w:t xml:space="preserve"> 12 FR длина 20 см. </w:t>
            </w:r>
            <w:proofErr w:type="gramStart"/>
            <w:r>
              <w:rPr>
                <w:sz w:val="22"/>
                <w:szCs w:val="22"/>
              </w:rPr>
              <w:t>Стерильное</w:t>
            </w:r>
            <w:proofErr w:type="gramEnd"/>
            <w:r>
              <w:rPr>
                <w:sz w:val="22"/>
                <w:szCs w:val="22"/>
              </w:rPr>
              <w:t xml:space="preserve"> для однократного применения.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8528C3" w:rsidP="00E207F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13 200,00</w:t>
            </w: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Pr="004E71FA" w:rsidRDefault="008528C3" w:rsidP="009C0F10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12 700,00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5B1CA9" w:rsidP="008528C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9C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>
              <w:rPr>
                <w:sz w:val="22"/>
                <w:szCs w:val="22"/>
              </w:rPr>
              <w:t>тепло-дезинфекции</w:t>
            </w:r>
            <w:proofErr w:type="gramEnd"/>
            <w:r>
              <w:rPr>
                <w:sz w:val="22"/>
                <w:szCs w:val="22"/>
              </w:rPr>
              <w:t xml:space="preserve">, очищенная, </w:t>
            </w:r>
            <w:proofErr w:type="spellStart"/>
            <w:r>
              <w:rPr>
                <w:sz w:val="22"/>
                <w:szCs w:val="22"/>
              </w:rPr>
              <w:t>декальцификации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аппаратов, путем промывки. Эффективна при температурах от 60 до 83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зависимости от рекомендаций </w:t>
            </w:r>
            <w:r>
              <w:rPr>
                <w:sz w:val="22"/>
                <w:szCs w:val="22"/>
              </w:rPr>
              <w:lastRenderedPageBreak/>
              <w:t xml:space="preserve">производителей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аппаратов. Оказывает бактерицидное, </w:t>
            </w:r>
            <w:proofErr w:type="spellStart"/>
            <w:r>
              <w:rPr>
                <w:sz w:val="22"/>
                <w:szCs w:val="22"/>
              </w:rPr>
              <w:t>фунгицидное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туберкулоцидное</w:t>
            </w:r>
            <w:proofErr w:type="spellEnd"/>
            <w:r>
              <w:rPr>
                <w:sz w:val="22"/>
                <w:szCs w:val="22"/>
              </w:rPr>
              <w:t xml:space="preserve">, противовирусное (в </w:t>
            </w:r>
            <w:proofErr w:type="spellStart"/>
            <w:r>
              <w:rPr>
                <w:sz w:val="22"/>
                <w:szCs w:val="22"/>
              </w:rPr>
              <w:t>тос</w:t>
            </w:r>
            <w:proofErr w:type="spellEnd"/>
            <w:r>
              <w:rPr>
                <w:sz w:val="22"/>
                <w:szCs w:val="22"/>
              </w:rPr>
              <w:t xml:space="preserve"> числе </w:t>
            </w:r>
            <w:proofErr w:type="spellStart"/>
            <w:r>
              <w:rPr>
                <w:sz w:val="22"/>
                <w:szCs w:val="22"/>
              </w:rPr>
              <w:t>Парвовирусы</w:t>
            </w:r>
            <w:proofErr w:type="spellEnd"/>
            <w:r>
              <w:rPr>
                <w:sz w:val="22"/>
                <w:szCs w:val="22"/>
              </w:rPr>
              <w:t>, Вирус Гепатита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/мл. Состав: 1000 мл содержат 500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A8684D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 таблетирования для системы водоподготовки в мешках по 25кг (для гемодиализа)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4 975,00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A8684D" w:rsidP="00A868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4 975,00</w:t>
            </w: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для диализной жидкости для </w:t>
            </w:r>
            <w:proofErr w:type="spellStart"/>
            <w:r>
              <w:rPr>
                <w:sz w:val="22"/>
                <w:szCs w:val="22"/>
              </w:rPr>
              <w:t>гемодиализного</w:t>
            </w:r>
            <w:proofErr w:type="spellEnd"/>
            <w:r>
              <w:rPr>
                <w:sz w:val="22"/>
                <w:szCs w:val="22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22"/>
                <w:szCs w:val="22"/>
              </w:rPr>
              <w:t>ONLINEplus</w:t>
            </w:r>
            <w:proofErr w:type="spellEnd"/>
            <w:r>
              <w:rPr>
                <w:sz w:val="22"/>
                <w:szCs w:val="22"/>
              </w:rPr>
              <w:t xml:space="preserve"> процедур или </w:t>
            </w:r>
            <w:proofErr w:type="spellStart"/>
            <w:r>
              <w:rPr>
                <w:sz w:val="22"/>
                <w:szCs w:val="22"/>
              </w:rPr>
              <w:t>непрохождение</w:t>
            </w:r>
            <w:proofErr w:type="spellEnd"/>
            <w:r>
              <w:rPr>
                <w:sz w:val="22"/>
                <w:szCs w:val="22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22"/>
                <w:szCs w:val="22"/>
              </w:rPr>
              <w:t>Lock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>. Площадь поверхности 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Вес 170 г,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плазмофереза</w:t>
            </w:r>
            <w:proofErr w:type="spellEnd"/>
            <w:r>
              <w:rPr>
                <w:sz w:val="22"/>
                <w:szCs w:val="22"/>
              </w:rPr>
              <w:t xml:space="preserve"> PCS-2 в комплекте.</w:t>
            </w:r>
          </w:p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  <w:r>
              <w:rPr>
                <w:sz w:val="22"/>
                <w:szCs w:val="22"/>
              </w:rPr>
              <w:t xml:space="preserve"> в комплекте: </w:t>
            </w:r>
            <w:r>
              <w:rPr>
                <w:sz w:val="22"/>
                <w:szCs w:val="22"/>
              </w:rPr>
              <w:lastRenderedPageBreak/>
              <w:t xml:space="preserve">Одноразовый комплект расходных </w:t>
            </w:r>
            <w:proofErr w:type="gramStart"/>
            <w:r>
              <w:rPr>
                <w:sz w:val="22"/>
                <w:szCs w:val="22"/>
              </w:rPr>
              <w:t>материалов</w:t>
            </w:r>
            <w:proofErr w:type="gramEnd"/>
            <w:r>
              <w:rPr>
                <w:sz w:val="22"/>
                <w:szCs w:val="22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нефростомии</w:t>
            </w:r>
            <w:proofErr w:type="spellEnd"/>
            <w:r>
              <w:rPr>
                <w:sz w:val="22"/>
                <w:szCs w:val="22"/>
              </w:rPr>
              <w:t xml:space="preserve">  стерильный.</w:t>
            </w:r>
          </w:p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Пункционная канюля. Набор для выполнения </w:t>
            </w:r>
            <w:proofErr w:type="gramStart"/>
            <w:r>
              <w:rPr>
                <w:sz w:val="22"/>
                <w:szCs w:val="22"/>
              </w:rPr>
              <w:t>трехэтапной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чрезкожной</w:t>
            </w:r>
            <w:proofErr w:type="spellEnd"/>
            <w:r>
              <w:rPr>
                <w:sz w:val="22"/>
                <w:szCs w:val="22"/>
              </w:rPr>
              <w:t xml:space="preserve"> пункционной </w:t>
            </w:r>
            <w:proofErr w:type="spellStart"/>
            <w:r>
              <w:rPr>
                <w:sz w:val="22"/>
                <w:szCs w:val="22"/>
              </w:rPr>
              <w:t>нефростомии</w:t>
            </w:r>
            <w:proofErr w:type="spellEnd"/>
            <w:r>
              <w:rPr>
                <w:sz w:val="22"/>
                <w:szCs w:val="22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>
              <w:rPr>
                <w:sz w:val="22"/>
                <w:szCs w:val="22"/>
              </w:rPr>
              <w:t>рентгенконтрастный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  <w:proofErr w:type="spellStart"/>
            <w:r>
              <w:rPr>
                <w:sz w:val="22"/>
                <w:szCs w:val="22"/>
              </w:rPr>
              <w:t>Нефростомический</w:t>
            </w:r>
            <w:proofErr w:type="spellEnd"/>
            <w:r>
              <w:rPr>
                <w:sz w:val="22"/>
                <w:szCs w:val="22"/>
              </w:rPr>
              <w:t xml:space="preserve"> катетер с завитком типа </w:t>
            </w:r>
            <w:proofErr w:type="spellStart"/>
            <w:r>
              <w:rPr>
                <w:sz w:val="22"/>
                <w:szCs w:val="22"/>
              </w:rPr>
              <w:t>Пигтейл</w:t>
            </w:r>
            <w:proofErr w:type="spellEnd"/>
            <w:r>
              <w:rPr>
                <w:sz w:val="22"/>
                <w:szCs w:val="22"/>
              </w:rPr>
              <w:t xml:space="preserve">, изготовленный из полиуретана, </w:t>
            </w:r>
            <w:proofErr w:type="spellStart"/>
            <w:r>
              <w:rPr>
                <w:sz w:val="22"/>
                <w:szCs w:val="22"/>
              </w:rPr>
              <w:t>рентгенконтрастный</w:t>
            </w:r>
            <w:proofErr w:type="spellEnd"/>
            <w:r>
              <w:rPr>
                <w:sz w:val="22"/>
                <w:szCs w:val="22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  <w:p w:rsidR="009C0F10" w:rsidRDefault="009C0F10" w:rsidP="008528C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8528C3" w:rsidP="00E207F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29 800,00</w:t>
            </w: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цистостомии</w:t>
            </w:r>
            <w:proofErr w:type="spellEnd"/>
            <w:r>
              <w:rPr>
                <w:sz w:val="22"/>
                <w:szCs w:val="22"/>
              </w:rPr>
              <w:t xml:space="preserve">, стерильный, однократного применения, размером 12F и 14F, длиной 45 см. </w:t>
            </w:r>
          </w:p>
          <w:p w:rsidR="005B1CA9" w:rsidRDefault="005B1CA9" w:rsidP="008528C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создания </w:t>
            </w:r>
            <w:r>
              <w:rPr>
                <w:sz w:val="22"/>
                <w:szCs w:val="22"/>
              </w:rPr>
              <w:lastRenderedPageBreak/>
              <w:t xml:space="preserve">хирургическим путем искусственного надлобкового </w:t>
            </w:r>
            <w:proofErr w:type="spellStart"/>
            <w:r>
              <w:rPr>
                <w:sz w:val="22"/>
                <w:szCs w:val="22"/>
              </w:rPr>
              <w:t>мочепузырного</w:t>
            </w:r>
            <w:proofErr w:type="spellEnd"/>
            <w:r>
              <w:rPr>
                <w:sz w:val="22"/>
                <w:szCs w:val="22"/>
              </w:rPr>
              <w:t xml:space="preserve"> свища. Изделие асептическое, </w:t>
            </w:r>
            <w:proofErr w:type="spellStart"/>
            <w:r>
              <w:rPr>
                <w:sz w:val="22"/>
                <w:szCs w:val="22"/>
              </w:rPr>
              <w:t>апирогенное</w:t>
            </w:r>
            <w:proofErr w:type="spellEnd"/>
            <w:r>
              <w:rPr>
                <w:sz w:val="22"/>
                <w:szCs w:val="22"/>
              </w:rPr>
              <w:t xml:space="preserve">, стерилизованное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</w:t>
            </w:r>
            <w:r>
              <w:rPr>
                <w:sz w:val="22"/>
                <w:szCs w:val="22"/>
              </w:rPr>
              <w:br/>
              <w:t xml:space="preserve">Катетер </w:t>
            </w:r>
            <w:proofErr w:type="spellStart"/>
            <w:r>
              <w:rPr>
                <w:sz w:val="22"/>
                <w:szCs w:val="22"/>
              </w:rPr>
              <w:t>Pigtail</w:t>
            </w:r>
            <w:proofErr w:type="spellEnd"/>
            <w:r>
              <w:rPr>
                <w:sz w:val="22"/>
                <w:szCs w:val="22"/>
              </w:rPr>
              <w:t xml:space="preserve"> 12F или 14F длиной 45 см, Разрывная </w:t>
            </w:r>
            <w:proofErr w:type="spellStart"/>
            <w:r>
              <w:rPr>
                <w:sz w:val="22"/>
                <w:szCs w:val="22"/>
              </w:rPr>
              <w:t>иглаөинтродьюсер</w:t>
            </w:r>
            <w:proofErr w:type="spellEnd"/>
            <w:r>
              <w:rPr>
                <w:sz w:val="22"/>
                <w:szCs w:val="22"/>
              </w:rPr>
              <w:t xml:space="preserve"> 12F или 14F, длиной 120 мм, Кожный фиксатор, Шприц 10 мл, Скальпель, Зажим</w:t>
            </w:r>
          </w:p>
          <w:p w:rsidR="009C0F10" w:rsidRPr="00344C26" w:rsidRDefault="009C0F10" w:rsidP="00852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8528C3" w:rsidP="00E207F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17 400,00</w:t>
            </w:r>
          </w:p>
        </w:tc>
        <w:tc>
          <w:tcPr>
            <w:tcW w:w="1134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Режущая петля биполярная угловая 24 </w:t>
            </w:r>
            <w:proofErr w:type="spellStart"/>
            <w:r>
              <w:rPr>
                <w:sz w:val="22"/>
                <w:szCs w:val="22"/>
              </w:rPr>
              <w:t>Шр</w:t>
            </w:r>
            <w:proofErr w:type="spellEnd"/>
            <w:r>
              <w:rPr>
                <w:sz w:val="22"/>
                <w:szCs w:val="22"/>
              </w:rPr>
              <w:t xml:space="preserve">. Петля, биполярная, 24 </w:t>
            </w:r>
            <w:proofErr w:type="spellStart"/>
            <w:r>
              <w:rPr>
                <w:sz w:val="22"/>
                <w:szCs w:val="22"/>
              </w:rPr>
              <w:t>Шр</w:t>
            </w:r>
            <w:proofErr w:type="spellEnd"/>
            <w:r>
              <w:rPr>
                <w:sz w:val="22"/>
                <w:szCs w:val="22"/>
              </w:rPr>
              <w:t xml:space="preserve">., для использования с оптикой HOPKINS® 27005FA/BA рабочим элементом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  <w:p w:rsidR="009C0F10" w:rsidRPr="00344C26" w:rsidRDefault="009C0F10" w:rsidP="008528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9C0F1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117 750,00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8528C3" w:rsidP="009C0F10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117 700,00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Pr="004E71FA" w:rsidRDefault="005B1CA9" w:rsidP="008528C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5B1CA9" w:rsidP="008528C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B1CA9" w:rsidRPr="005B799C" w:rsidTr="009C0F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5B1CA9" w:rsidRDefault="005B1CA9" w:rsidP="00E207F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5B1CA9" w:rsidRPr="006B21F2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Биполярный шнур для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B1CA9" w:rsidRPr="006B21F2" w:rsidRDefault="005B1CA9" w:rsidP="00852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Высокочастотный биполярный шнур, длина 400 см, для </w:t>
            </w:r>
            <w:proofErr w:type="spellStart"/>
            <w:r>
              <w:rPr>
                <w:sz w:val="22"/>
                <w:szCs w:val="22"/>
              </w:rPr>
              <w:t>резектоскопа</w:t>
            </w:r>
            <w:proofErr w:type="spellEnd"/>
            <w:r>
              <w:rPr>
                <w:sz w:val="22"/>
                <w:szCs w:val="22"/>
              </w:rPr>
              <w:t xml:space="preserve">  производства KARL STORZ.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1CA9" w:rsidRDefault="005B1CA9" w:rsidP="0085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1CA9" w:rsidRDefault="005B1CA9" w:rsidP="009C0F1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5B1CA9" w:rsidP="00E207F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B1CA9" w:rsidRPr="004E71FA" w:rsidRDefault="008528C3" w:rsidP="009C0F10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194 200,00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CA9" w:rsidRPr="004E71FA" w:rsidRDefault="005B1CA9" w:rsidP="008528C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B1CA9" w:rsidRPr="004E71FA" w:rsidRDefault="005B1CA9" w:rsidP="008528C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C0F10" w:rsidRDefault="009C0F10" w:rsidP="009C0F10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0"/>
        <w:jc w:val="both"/>
        <w:textAlignment w:val="auto"/>
        <w:rPr>
          <w:rFonts w:cs="Times New Roman"/>
        </w:rPr>
      </w:pPr>
    </w:p>
    <w:p w:rsidR="00D32BCB" w:rsidRDefault="00D32BCB" w:rsidP="00D32BCB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лотам</w:t>
      </w:r>
      <w:r w:rsidRPr="0093511E">
        <w:rPr>
          <w:rFonts w:cs="Times New Roman"/>
        </w:rPr>
        <w:t xml:space="preserve"> № </w:t>
      </w:r>
      <w:r>
        <w:rPr>
          <w:rFonts w:cs="Times New Roman"/>
        </w:rPr>
        <w:t>1,</w:t>
      </w:r>
      <w:r w:rsidR="0079290C">
        <w:rPr>
          <w:rFonts w:cs="Times New Roman"/>
        </w:rPr>
        <w:t xml:space="preserve"> 2, 3, 4, 5,</w:t>
      </w:r>
      <w:r>
        <w:rPr>
          <w:rFonts w:cs="Times New Roman"/>
        </w:rPr>
        <w:t xml:space="preserve"> 6, </w:t>
      </w:r>
      <w:r w:rsidR="0079290C">
        <w:rPr>
          <w:rFonts w:cs="Times New Roman"/>
        </w:rPr>
        <w:t xml:space="preserve">8, </w:t>
      </w:r>
      <w:bookmarkStart w:id="0" w:name="_GoBack"/>
      <w:bookmarkEnd w:id="0"/>
      <w:r>
        <w:rPr>
          <w:rFonts w:cs="Times New Roman"/>
        </w:rPr>
        <w:t xml:space="preserve">11, 12, 13, 14  </w:t>
      </w:r>
      <w:r w:rsidRPr="0093511E">
        <w:rPr>
          <w:rFonts w:cs="Times New Roman"/>
        </w:rPr>
        <w:t xml:space="preserve">составляет </w:t>
      </w:r>
      <w:r>
        <w:rPr>
          <w:rFonts w:cs="Times New Roman"/>
        </w:rPr>
        <w:t>24 750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>
        <w:rPr>
          <w:rFonts w:cs="Times New Roman"/>
        </w:rPr>
        <w:t>двадцать четыре тысячи семь</w:t>
      </w:r>
      <w:r w:rsidR="00A20BDC">
        <w:rPr>
          <w:rFonts w:cs="Times New Roman"/>
        </w:rPr>
        <w:t>сот пятьдесят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A20BDC">
        <w:rPr>
          <w:rFonts w:cs="Times New Roman"/>
          <w:lang w:val="kk-KZ"/>
        </w:rPr>
        <w:t xml:space="preserve"> 7,  9, 10</w:t>
      </w:r>
      <w:r w:rsidR="00707CE0">
        <w:rPr>
          <w:rFonts w:cs="Times New Roman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A20BDC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A20BDC">
        <w:rPr>
          <w:rFonts w:cs="Times New Roman"/>
          <w:lang w:val="kk-KZ"/>
        </w:rPr>
        <w:t xml:space="preserve">11, 12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A20BDC" w:rsidRPr="00A20BDC">
        <w:rPr>
          <w:rFonts w:cs="Times New Roman"/>
          <w:lang w:val="en-US"/>
        </w:rPr>
        <w:t>Dariya</w:t>
      </w:r>
      <w:proofErr w:type="spellEnd"/>
      <w:r w:rsidR="00A20BDC" w:rsidRPr="00A20BDC">
        <w:rPr>
          <w:rFonts w:cs="Times New Roman"/>
        </w:rPr>
        <w:t xml:space="preserve"> </w:t>
      </w:r>
      <w:proofErr w:type="spellStart"/>
      <w:r w:rsidR="00A20BDC" w:rsidRPr="00A20BDC">
        <w:rPr>
          <w:rFonts w:cs="Times New Roman"/>
          <w:lang w:val="en-US"/>
        </w:rPr>
        <w:t>medica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A20BDC">
        <w:rPr>
          <w:rFonts w:eastAsia="Times New Roman" w:cs="Times New Roman"/>
          <w:kern w:val="0"/>
          <w:lang w:eastAsia="ru-RU" w:bidi="ar-SA"/>
        </w:rPr>
        <w:t>1 714 000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A20BDC" w:rsidRPr="00A20BDC">
        <w:t>один миллион семьсот четырнадцать тысяч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lastRenderedPageBreak/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13, 14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A20BDC">
        <w:rPr>
          <w:rFonts w:cs="Times New Roman"/>
          <w:lang w:val="en-US"/>
        </w:rPr>
        <w:t>Medicus</w:t>
      </w:r>
      <w:proofErr w:type="spellEnd"/>
      <w:r w:rsidRPr="00A20BDC">
        <w:rPr>
          <w:rFonts w:cs="Times New Roman"/>
        </w:rPr>
        <w:t xml:space="preserve"> </w:t>
      </w:r>
      <w:r w:rsidRPr="00A20BDC">
        <w:rPr>
          <w:rFonts w:cs="Times New Roman"/>
          <w:lang w:val="en-US"/>
        </w:rPr>
        <w:t>M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cs="Times New Roman"/>
        </w:rPr>
        <w:t>1 995 000,</w:t>
      </w:r>
      <w:r w:rsidRPr="00237505">
        <w:rPr>
          <w:rFonts w:eastAsia="Times New Roman" w:cs="Times New Roman"/>
          <w:kern w:val="0"/>
          <w:lang w:eastAsia="ru-RU" w:bidi="ar-SA"/>
        </w:rPr>
        <w:t>00</w:t>
      </w:r>
      <w:r w:rsidRPr="00237505">
        <w:rPr>
          <w:rFonts w:cs="Times New Roman"/>
        </w:rPr>
        <w:t xml:space="preserve"> </w:t>
      </w:r>
      <w:r w:rsidRPr="00237505">
        <w:t>(</w:t>
      </w:r>
      <w:r w:rsidRPr="00A20BDC">
        <w:t>один миллион девятьсот девяносто пять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6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A20BDC">
        <w:rPr>
          <w:rFonts w:cs="Times New Roman"/>
          <w:lang w:val="en-US"/>
        </w:rPr>
        <w:t>Med</w:t>
      </w:r>
      <w:r w:rsidRPr="00A20BDC">
        <w:rPr>
          <w:rFonts w:cs="Times New Roman"/>
        </w:rPr>
        <w:t xml:space="preserve"> </w:t>
      </w:r>
      <w:r w:rsidRPr="00A20BDC">
        <w:rPr>
          <w:rFonts w:cs="Times New Roman"/>
          <w:lang w:val="en-US"/>
        </w:rPr>
        <w:t>Life</w:t>
      </w:r>
      <w:r w:rsidRPr="00A20BDC">
        <w:rPr>
          <w:rFonts w:cs="Times New Roman"/>
        </w:rPr>
        <w:t xml:space="preserve"> </w:t>
      </w:r>
      <w:r w:rsidRPr="00A20BDC">
        <w:rPr>
          <w:rFonts w:cs="Times New Roman"/>
          <w:lang w:val="en-US"/>
        </w:rPr>
        <w:t>Sciences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508 000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>
        <w:t>пятьсот восемь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1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A20BDC">
        <w:rPr>
          <w:rFonts w:cs="Times New Roman"/>
          <w:lang w:val="en-US"/>
        </w:rPr>
        <w:t>ML</w:t>
      </w:r>
      <w:r w:rsidRPr="00A20BDC">
        <w:rPr>
          <w:rFonts w:cs="Times New Roman"/>
        </w:rPr>
        <w:t xml:space="preserve"> </w:t>
      </w:r>
      <w:r w:rsidRPr="00A20BDC">
        <w:rPr>
          <w:rFonts w:cs="Times New Roman"/>
          <w:lang w:val="en-US"/>
        </w:rPr>
        <w:t>Medical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A8684D">
        <w:rPr>
          <w:rFonts w:eastAsia="Times New Roman" w:cs="Times New Roman"/>
          <w:kern w:val="0"/>
          <w:lang w:eastAsia="ru-RU" w:bidi="ar-SA"/>
        </w:rPr>
        <w:t>3 136 570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A8684D">
        <w:t>три миллиона сто тридцать шесть тысяч пятьсот семьдесят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</w:p>
    <w:p w:rsidR="00A20BDC" w:rsidRDefault="00A20BDC" w:rsidP="001151CC">
      <w:pPr>
        <w:spacing w:line="276" w:lineRule="auto"/>
        <w:ind w:firstLine="400"/>
        <w:jc w:val="both"/>
        <w:rPr>
          <w:rFonts w:cs="Times New Roman"/>
        </w:rPr>
      </w:pP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9C0F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67312"/>
    <w:rsid w:val="00271804"/>
    <w:rsid w:val="002F3E03"/>
    <w:rsid w:val="0031041F"/>
    <w:rsid w:val="003228DB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5589"/>
    <w:rsid w:val="00707CE0"/>
    <w:rsid w:val="007242BE"/>
    <w:rsid w:val="00733138"/>
    <w:rsid w:val="0074477B"/>
    <w:rsid w:val="007524AB"/>
    <w:rsid w:val="0079290C"/>
    <w:rsid w:val="00794E57"/>
    <w:rsid w:val="007A0BE7"/>
    <w:rsid w:val="007C5A5E"/>
    <w:rsid w:val="007D0419"/>
    <w:rsid w:val="00836E34"/>
    <w:rsid w:val="00841853"/>
    <w:rsid w:val="008528C3"/>
    <w:rsid w:val="0086053E"/>
    <w:rsid w:val="00865480"/>
    <w:rsid w:val="008853F3"/>
    <w:rsid w:val="008A598A"/>
    <w:rsid w:val="008F331F"/>
    <w:rsid w:val="00910FE0"/>
    <w:rsid w:val="00921393"/>
    <w:rsid w:val="0093511E"/>
    <w:rsid w:val="009361AA"/>
    <w:rsid w:val="00942D7B"/>
    <w:rsid w:val="009805A5"/>
    <w:rsid w:val="00984954"/>
    <w:rsid w:val="009C0F10"/>
    <w:rsid w:val="00A20BDC"/>
    <w:rsid w:val="00A42DB3"/>
    <w:rsid w:val="00A5646F"/>
    <w:rsid w:val="00A60547"/>
    <w:rsid w:val="00A83F37"/>
    <w:rsid w:val="00A8684D"/>
    <w:rsid w:val="00AB3F88"/>
    <w:rsid w:val="00AC0924"/>
    <w:rsid w:val="00AC4BB9"/>
    <w:rsid w:val="00B16CBA"/>
    <w:rsid w:val="00B479C0"/>
    <w:rsid w:val="00B93BEF"/>
    <w:rsid w:val="00BB4D56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D02E7E"/>
    <w:rsid w:val="00D32BCB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A2C4-B8B2-42C5-B7E7-57D3107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36</cp:revision>
  <cp:lastPrinted>2021-02-11T03:22:00Z</cp:lastPrinted>
  <dcterms:created xsi:type="dcterms:W3CDTF">2019-02-16T19:19:00Z</dcterms:created>
  <dcterms:modified xsi:type="dcterms:W3CDTF">2021-02-15T04:39:00Z</dcterms:modified>
</cp:coreProperties>
</file>