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E8" w:rsidRPr="001C5FE8" w:rsidRDefault="001C5FE8" w:rsidP="001C5FE8">
      <w:pPr>
        <w:spacing w:after="27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5F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РЕЗИДЕНТУРА ТҮЛЕГІНІҢ ҚҰЗЫРЕТТІЛІК САЛАЛАРЫ </w:t>
      </w:r>
    </w:p>
    <w:p w:rsidR="001C5FE8" w:rsidRDefault="006B3483" w:rsidP="006B34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val="kk-KZ"/>
        </w:rPr>
        <w:t>Медициналық Резидентура</w:t>
      </w:r>
    </w:p>
    <w:p w:rsidR="006B3483" w:rsidRDefault="006B3483" w:rsidP="006B34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val="kk-KZ"/>
        </w:rPr>
        <w:t>мамандықтары бойынша</w:t>
      </w:r>
    </w:p>
    <w:p w:rsidR="006B3483" w:rsidRDefault="006B3483" w:rsidP="006B34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val="kk-KZ"/>
        </w:rPr>
        <w:t>Типтік кәсіптік оқу бағдарламасына</w:t>
      </w:r>
    </w:p>
    <w:p w:rsidR="006B3483" w:rsidRDefault="006B3483" w:rsidP="006B34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val="kk-KZ"/>
        </w:rPr>
        <w:t>52-қосымша</w:t>
      </w:r>
    </w:p>
    <w:p w:rsidR="007B298A" w:rsidRPr="001C5FE8" w:rsidRDefault="007B298A" w:rsidP="006B348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kk-KZ"/>
        </w:rPr>
      </w:pPr>
    </w:p>
    <w:p w:rsidR="006B3483" w:rsidRDefault="006B3483" w:rsidP="006B348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>Резидентура түлегінің негізгі құзыреттіліктерінің тізімі</w:t>
      </w:r>
    </w:p>
    <w:p w:rsidR="007B298A" w:rsidRPr="006B3483" w:rsidRDefault="007B298A" w:rsidP="006B348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</w:p>
    <w:tbl>
      <w:tblPr>
        <w:tblW w:w="0" w:type="auto"/>
        <w:tblLook w:val="04A0"/>
      </w:tblPr>
      <w:tblGrid>
        <w:gridCol w:w="812"/>
        <w:gridCol w:w="8843"/>
      </w:tblGrid>
      <w:tr w:rsidR="00D159E1" w:rsidRPr="00D159E1" w:rsidTr="00D159E1">
        <w:trPr>
          <w:trHeight w:val="1133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59E1" w:rsidRPr="00D159E1" w:rsidRDefault="006B348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НҚ</w:t>
            </w:r>
            <w:r w:rsidR="00D159E1" w:rsidRPr="00D159E1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59E1" w:rsidRPr="00965913" w:rsidRDefault="006B3483" w:rsidP="00D159E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Науқасты курациялау</w:t>
            </w:r>
            <w:r w:rsidR="00D159E1" w:rsidRPr="00D15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клиникалық диагнозды қоюға, емдеу жоспарын тағайындауға және медициналық көмек көрсетудің барлық деңгейінде дәлелді практиканың негізінде оның тиімділігін бағалауға қабілетті.</w:t>
            </w:r>
          </w:p>
        </w:tc>
      </w:tr>
      <w:tr w:rsidR="00D159E1" w:rsidRPr="00D159E1" w:rsidTr="00D159E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59E1" w:rsidRPr="00D159E1" w:rsidRDefault="006B348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НҚ</w:t>
            </w:r>
            <w:r w:rsidR="00D159E1" w:rsidRPr="00D159E1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59E1" w:rsidRPr="00965913" w:rsidRDefault="00D159E1" w:rsidP="00965913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15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Коммуникация </w:t>
            </w:r>
            <w:r w:rsidR="009659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және</w:t>
            </w:r>
            <w:r w:rsidRPr="00D15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коллаборация: </w:t>
            </w:r>
            <w:r w:rsidR="009659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науқас үшін жақ</w:t>
            </w:r>
            <w:proofErr w:type="gramStart"/>
            <w:r w:rsidR="009659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 н</w:t>
            </w:r>
            <w:proofErr w:type="gramEnd"/>
            <w:r w:rsidR="009659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әтижелерге қол жеткізу мақсатында науқаспен, оның айналасындағылармен тиімді өзара әрекеттесуге қабілетті.</w:t>
            </w:r>
          </w:p>
        </w:tc>
      </w:tr>
      <w:tr w:rsidR="00D159E1" w:rsidRPr="00D159E1" w:rsidTr="00D159E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59E1" w:rsidRPr="00D159E1" w:rsidRDefault="006B348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НҚ</w:t>
            </w:r>
            <w:r w:rsidR="00D159E1" w:rsidRPr="00D159E1"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59E1" w:rsidRPr="00575A0B" w:rsidRDefault="00965913" w:rsidP="00D159E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Қауіпсіздік және сапа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медициналық көмектің қауіпсіздігі мен сапасының жоғары деңгейін қамтамасыз </w:t>
            </w:r>
            <w:r w:rsidR="00575A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үшін барынша тиімді әдістерді пайдалануға және қатерлерді бағалауға қабілетті.</w:t>
            </w:r>
          </w:p>
        </w:tc>
      </w:tr>
      <w:tr w:rsidR="00D159E1" w:rsidRPr="00D159E1" w:rsidTr="00D159E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59E1" w:rsidRPr="00D159E1" w:rsidRDefault="006B348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НҚ</w:t>
            </w:r>
            <w:r w:rsidR="00D159E1" w:rsidRPr="00D159E1"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5A0B" w:rsidRPr="00A35D4A" w:rsidRDefault="00575A0B" w:rsidP="00A35D4A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Қоғамдық денсаулық сақтау</w:t>
            </w:r>
            <w:r w:rsidR="00D159E1" w:rsidRPr="00D15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 Денсаулық сақтау жүйесінің құқықтық және ұйымдастыру саласы шеңберінде өз мамандығы</w:t>
            </w:r>
            <w:r w:rsidR="00A35D4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бойынша әрекет етуге, төтенше жағдайларда базалық көмек көрсетуге, ұлт денсаулығын нығайту саясатын жүзеге асыру үшін кәсіпаралық топтар құрамында жұмыс істеуге қабілетті.</w:t>
            </w:r>
          </w:p>
        </w:tc>
      </w:tr>
      <w:tr w:rsidR="00D159E1" w:rsidRPr="00A35D4A" w:rsidTr="00D159E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59E1" w:rsidRPr="00D159E1" w:rsidRDefault="006B348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НҚ</w:t>
            </w:r>
            <w:r w:rsidR="00D159E1" w:rsidRPr="00D159E1"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35D4A" w:rsidRPr="007B298A" w:rsidRDefault="00A35D4A" w:rsidP="00D159E1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Зерттеу</w:t>
            </w:r>
            <w:r w:rsidR="00D159E1" w:rsidRPr="00D15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BC330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адекватты зерттеу мәселелерін қалыптастыруға, кәсіби әдебиетті сыни бағалауға, халықаралық мәліметтер базасын өзінің күнделікті қызметінде тиімді пайдалануға</w:t>
            </w:r>
            <w:r w:rsidR="007B298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зерттеу тобының жұмысына қатысуға қабілетті.</w:t>
            </w:r>
          </w:p>
        </w:tc>
      </w:tr>
      <w:tr w:rsidR="00D159E1" w:rsidRPr="007B298A" w:rsidTr="00D159E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59E1" w:rsidRPr="00D159E1" w:rsidRDefault="006B348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НҚ</w:t>
            </w:r>
            <w:r w:rsidR="00D159E1" w:rsidRPr="00D159E1">
              <w:rPr>
                <w:rFonts w:ascii="Times New Roman" w:eastAsia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298A" w:rsidRPr="007B298A" w:rsidRDefault="007B298A" w:rsidP="007B298A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Оқыту және даму: өз бетінше оқуға және кәсіби топтың басқа мүшелерін оқытуға, пікірталастарға, конференцияларға және үздіксіз кәсіби дамудың басқа да нысандарына белсенді түрде қатысуға қабілетті.</w:t>
            </w:r>
          </w:p>
        </w:tc>
      </w:tr>
    </w:tbl>
    <w:p w:rsidR="00115948" w:rsidRPr="007B298A" w:rsidRDefault="00115948">
      <w:pPr>
        <w:rPr>
          <w:lang w:val="kk-KZ"/>
        </w:rPr>
      </w:pPr>
    </w:p>
    <w:sectPr w:rsidR="00115948" w:rsidRPr="007B298A" w:rsidSect="0046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D159E1"/>
    <w:rsid w:val="00056A08"/>
    <w:rsid w:val="00115948"/>
    <w:rsid w:val="001C5FE8"/>
    <w:rsid w:val="00461964"/>
    <w:rsid w:val="00575A0B"/>
    <w:rsid w:val="006B3483"/>
    <w:rsid w:val="007B298A"/>
    <w:rsid w:val="00965913"/>
    <w:rsid w:val="00A35D4A"/>
    <w:rsid w:val="00BC3306"/>
    <w:rsid w:val="00D1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423">
          <w:marLeft w:val="175"/>
          <w:marRight w:val="175"/>
          <w:marTop w:val="25"/>
          <w:marBottom w:val="0"/>
          <w:divBdr>
            <w:top w:val="single" w:sz="12" w:space="0" w:color="F2F3F4"/>
            <w:left w:val="single" w:sz="12" w:space="0" w:color="F2F3F4"/>
            <w:bottom w:val="single" w:sz="12" w:space="0" w:color="F2F3F4"/>
            <w:right w:val="single" w:sz="12" w:space="0" w:color="F2F3F4"/>
          </w:divBdr>
          <w:divsChild>
            <w:div w:id="19231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7978">
                  <w:marLeft w:val="25"/>
                  <w:marRight w:val="63"/>
                  <w:marTop w:val="63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40601">
                      <w:marLeft w:val="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7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891">
              <w:marLeft w:val="175"/>
              <w:marRight w:val="17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opo1</dc:creator>
  <cp:keywords/>
  <dc:description/>
  <cp:lastModifiedBy>Акбота Кенжекожаева</cp:lastModifiedBy>
  <cp:revision>12</cp:revision>
  <dcterms:created xsi:type="dcterms:W3CDTF">2021-01-29T10:11:00Z</dcterms:created>
  <dcterms:modified xsi:type="dcterms:W3CDTF">2021-05-14T08:38:00Z</dcterms:modified>
</cp:coreProperties>
</file>