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980552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980552">
        <w:rPr>
          <w:rFonts w:cs="Times New Roman"/>
          <w:b/>
          <w:sz w:val="22"/>
          <w:szCs w:val="22"/>
        </w:rPr>
        <w:t>Объявления</w:t>
      </w:r>
    </w:p>
    <w:p w:rsidR="00D02D36" w:rsidRPr="00445013" w:rsidRDefault="00D02D36" w:rsidP="0048597F">
      <w:pPr>
        <w:jc w:val="center"/>
        <w:rPr>
          <w:rFonts w:cs="Times New Roman"/>
          <w:b/>
        </w:rPr>
      </w:pPr>
      <w:r w:rsidRPr="00445013">
        <w:rPr>
          <w:rFonts w:cs="Times New Roman"/>
          <w:b/>
        </w:rPr>
        <w:t>о проведении закупа способом запроса ценовых предложений</w:t>
      </w:r>
      <w:r w:rsidR="00721326" w:rsidRPr="00445013">
        <w:rPr>
          <w:rFonts w:cs="Times New Roman"/>
          <w:b/>
          <w:u w:val="single"/>
        </w:rPr>
        <w:t>.</w:t>
      </w:r>
    </w:p>
    <w:p w:rsidR="00694C51" w:rsidRPr="00445013" w:rsidRDefault="00694C51" w:rsidP="0048597F">
      <w:pPr>
        <w:jc w:val="center"/>
        <w:rPr>
          <w:rFonts w:cs="Times New Roman"/>
        </w:rPr>
      </w:pPr>
    </w:p>
    <w:p w:rsidR="0080080F" w:rsidRPr="00445013" w:rsidRDefault="0080080F" w:rsidP="0048597F">
      <w:pPr>
        <w:rPr>
          <w:rFonts w:cs="Times New Roman"/>
        </w:rPr>
      </w:pPr>
      <w:proofErr w:type="spellStart"/>
      <w:r w:rsidRPr="00445013">
        <w:rPr>
          <w:rFonts w:cs="Times New Roman"/>
        </w:rPr>
        <w:t>г</w:t>
      </w:r>
      <w:proofErr w:type="gramStart"/>
      <w:r w:rsidRPr="00445013">
        <w:rPr>
          <w:rFonts w:cs="Times New Roman"/>
        </w:rPr>
        <w:t>.А</w:t>
      </w:r>
      <w:proofErr w:type="gramEnd"/>
      <w:r w:rsidRPr="00445013">
        <w:rPr>
          <w:rFonts w:cs="Times New Roman"/>
        </w:rPr>
        <w:t>лматы</w:t>
      </w:r>
      <w:proofErr w:type="spellEnd"/>
      <w:r w:rsidRPr="00445013">
        <w:rPr>
          <w:rFonts w:cs="Times New Roman"/>
        </w:rPr>
        <w:t xml:space="preserve"> </w:t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="00562323" w:rsidRPr="00445013">
        <w:rPr>
          <w:rFonts w:cs="Times New Roman"/>
        </w:rPr>
        <w:tab/>
      </w:r>
      <w:r w:rsidR="00562323" w:rsidRPr="00445013">
        <w:rPr>
          <w:rFonts w:cs="Times New Roman"/>
        </w:rPr>
        <w:tab/>
      </w:r>
      <w:r w:rsidRPr="00445013">
        <w:rPr>
          <w:rFonts w:cs="Times New Roman"/>
        </w:rPr>
        <w:t xml:space="preserve"> «</w:t>
      </w:r>
      <w:r w:rsidR="00301B5D">
        <w:rPr>
          <w:rFonts w:cs="Times New Roman"/>
          <w:lang w:val="kk-KZ"/>
        </w:rPr>
        <w:t>11</w:t>
      </w:r>
      <w:r w:rsidRPr="00445013">
        <w:rPr>
          <w:rFonts w:cs="Times New Roman"/>
        </w:rPr>
        <w:t xml:space="preserve">» </w:t>
      </w:r>
      <w:r w:rsidR="00465DCA">
        <w:rPr>
          <w:rFonts w:cs="Times New Roman"/>
          <w:lang w:val="kk-KZ"/>
        </w:rPr>
        <w:t xml:space="preserve">июня </w:t>
      </w:r>
      <w:r w:rsidR="000E770C" w:rsidRPr="00445013">
        <w:rPr>
          <w:rFonts w:cs="Times New Roman"/>
        </w:rPr>
        <w:t xml:space="preserve"> </w:t>
      </w:r>
      <w:r w:rsidR="00F1687D" w:rsidRPr="00445013">
        <w:rPr>
          <w:rFonts w:cs="Times New Roman"/>
        </w:rPr>
        <w:t>202</w:t>
      </w:r>
      <w:r w:rsidR="000E770C" w:rsidRPr="00445013">
        <w:rPr>
          <w:rFonts w:cs="Times New Roman"/>
        </w:rPr>
        <w:t>1</w:t>
      </w:r>
      <w:r w:rsidRPr="00445013">
        <w:rPr>
          <w:rFonts w:cs="Times New Roman"/>
        </w:rPr>
        <w:t xml:space="preserve"> года</w:t>
      </w:r>
    </w:p>
    <w:p w:rsidR="00D53757" w:rsidRPr="00445013" w:rsidRDefault="00D53757" w:rsidP="0048597F">
      <w:pPr>
        <w:rPr>
          <w:rFonts w:cs="Times New Roman"/>
        </w:rPr>
      </w:pPr>
    </w:p>
    <w:p w:rsidR="00410D0B" w:rsidRPr="00445013" w:rsidRDefault="00410D0B" w:rsidP="00301B5D">
      <w:pPr>
        <w:ind w:firstLine="708"/>
        <w:jc w:val="both"/>
        <w:rPr>
          <w:rStyle w:val="s1"/>
          <w:b w:val="0"/>
        </w:rPr>
      </w:pPr>
      <w:r w:rsidRPr="00445013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445013">
        <w:rPr>
          <w:rFonts w:cs="Times New Roman"/>
        </w:rPr>
        <w:t>Сызганова</w:t>
      </w:r>
      <w:proofErr w:type="spellEnd"/>
      <w:r w:rsidRPr="00445013">
        <w:rPr>
          <w:rFonts w:cs="Times New Roman"/>
        </w:rPr>
        <w:t xml:space="preserve">» в соответствии с </w:t>
      </w:r>
      <w:r w:rsidR="00F1687D" w:rsidRPr="00445013">
        <w:rPr>
          <w:rStyle w:val="s1"/>
          <w:b w:val="0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445013">
        <w:rPr>
          <w:rStyle w:val="s1"/>
          <w:b w:val="0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Fonts w:cs="Times New Roman"/>
        </w:rPr>
        <w:t xml:space="preserve">Организатор – АО «Национальный научный центр хирургии имени А.Н. </w:t>
      </w:r>
      <w:proofErr w:type="spellStart"/>
      <w:r w:rsidRPr="00445013">
        <w:rPr>
          <w:rFonts w:cs="Times New Roman"/>
        </w:rPr>
        <w:t>Сызганова</w:t>
      </w:r>
      <w:proofErr w:type="spellEnd"/>
      <w:r w:rsidRPr="00445013">
        <w:rPr>
          <w:rFonts w:cs="Times New Roman"/>
        </w:rPr>
        <w:t>»</w:t>
      </w:r>
    </w:p>
    <w:p w:rsidR="0080080F" w:rsidRPr="00445013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445013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445013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290C95" w:rsidRPr="00445013" w:rsidRDefault="00290C95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kern w:val="0"/>
          <w:lang w:eastAsia="en-US" w:bidi="ar-SA"/>
        </w:rPr>
        <w:t>БИН: 990240008204</w:t>
      </w:r>
    </w:p>
    <w:p w:rsidR="00290C95" w:rsidRPr="00445013" w:rsidRDefault="00290C95" w:rsidP="0048597F">
      <w:pPr>
        <w:pStyle w:val="Standard"/>
        <w:jc w:val="both"/>
        <w:rPr>
          <w:rFonts w:cs="Times New Roman"/>
          <w:lang w:eastAsia="en-US"/>
        </w:rPr>
      </w:pPr>
      <w:r w:rsidRPr="00445013">
        <w:rPr>
          <w:rFonts w:cs="Times New Roman"/>
          <w:color w:val="000000"/>
          <w:lang w:eastAsia="en-US"/>
        </w:rPr>
        <w:t>ИИК KZ638560000004322828</w:t>
      </w:r>
    </w:p>
    <w:p w:rsidR="00290C95" w:rsidRPr="00445013" w:rsidRDefault="00290C95" w:rsidP="0048597F">
      <w:pPr>
        <w:pStyle w:val="Standard"/>
        <w:jc w:val="both"/>
        <w:rPr>
          <w:rFonts w:cs="Times New Roman"/>
          <w:lang w:eastAsia="en-US"/>
        </w:rPr>
      </w:pPr>
      <w:r w:rsidRPr="00445013">
        <w:rPr>
          <w:rFonts w:cs="Times New Roman"/>
          <w:color w:val="000000"/>
          <w:lang w:eastAsia="en-US"/>
        </w:rPr>
        <w:t>БИК KCJBKZKX</w:t>
      </w:r>
    </w:p>
    <w:p w:rsidR="00290C95" w:rsidRPr="00445013" w:rsidRDefault="00290C95" w:rsidP="0048597F">
      <w:pPr>
        <w:pStyle w:val="Standard"/>
        <w:jc w:val="both"/>
        <w:rPr>
          <w:rFonts w:cs="Times New Roman"/>
          <w:lang w:eastAsia="en-US"/>
        </w:rPr>
      </w:pPr>
      <w:r w:rsidRPr="00445013">
        <w:rPr>
          <w:rFonts w:cs="Times New Roman"/>
          <w:color w:val="000000"/>
          <w:lang w:eastAsia="en-US"/>
        </w:rPr>
        <w:t>АО «</w:t>
      </w:r>
      <w:proofErr w:type="spellStart"/>
      <w:r w:rsidRPr="00445013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445013">
        <w:rPr>
          <w:rFonts w:cs="Times New Roman"/>
          <w:color w:val="000000"/>
          <w:lang w:eastAsia="en-US"/>
        </w:rPr>
        <w:t>»</w:t>
      </w:r>
    </w:p>
    <w:p w:rsidR="00290C95" w:rsidRPr="00445013" w:rsidRDefault="00290C95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80080F" w:rsidRPr="00445013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bCs/>
          <w:kern w:val="0"/>
          <w:lang w:eastAsia="en-US" w:bidi="ar-SA"/>
        </w:rPr>
        <w:t xml:space="preserve">Представитель организатора: </w:t>
      </w:r>
      <w:proofErr w:type="spellStart"/>
      <w:r w:rsidR="00056832" w:rsidRPr="00445013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056832" w:rsidRPr="00445013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056832" w:rsidRPr="00445013">
        <w:rPr>
          <w:rFonts w:eastAsiaTheme="minorHAnsi" w:cs="Times New Roman"/>
          <w:kern w:val="0"/>
          <w:lang w:eastAsia="en-US" w:bidi="ar-SA"/>
        </w:rPr>
        <w:t>Назигуль</w:t>
      </w:r>
      <w:proofErr w:type="spellEnd"/>
      <w:r w:rsidR="00056832" w:rsidRPr="00445013">
        <w:rPr>
          <w:rFonts w:eastAsiaTheme="minorHAnsi" w:cs="Times New Roman"/>
          <w:kern w:val="0"/>
          <w:lang w:eastAsia="en-US" w:bidi="ar-SA"/>
        </w:rPr>
        <w:t xml:space="preserve"> </w:t>
      </w:r>
    </w:p>
    <w:p w:rsidR="0080080F" w:rsidRPr="00445013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kern w:val="0"/>
          <w:lang w:eastAsia="en-US" w:bidi="ar-SA"/>
        </w:rPr>
        <w:t xml:space="preserve">Должность: </w:t>
      </w:r>
      <w:r w:rsidR="00056832" w:rsidRPr="00445013">
        <w:rPr>
          <w:rFonts w:eastAsiaTheme="minorHAnsi" w:cs="Times New Roman"/>
          <w:kern w:val="0"/>
          <w:lang w:eastAsia="en-US" w:bidi="ar-SA"/>
        </w:rPr>
        <w:t xml:space="preserve">начальник отдела </w:t>
      </w:r>
      <w:r w:rsidR="0090711C" w:rsidRPr="00445013">
        <w:rPr>
          <w:rFonts w:eastAsiaTheme="minorHAnsi" w:cs="Times New Roman"/>
          <w:kern w:val="0"/>
          <w:lang w:eastAsia="en-US" w:bidi="ar-SA"/>
        </w:rPr>
        <w:t>государственных</w:t>
      </w:r>
      <w:r w:rsidR="00E11270" w:rsidRPr="00445013">
        <w:rPr>
          <w:rFonts w:eastAsiaTheme="minorHAnsi" w:cs="Times New Roman"/>
          <w:kern w:val="0"/>
          <w:lang w:eastAsia="en-US" w:bidi="ar-SA"/>
        </w:rPr>
        <w:t xml:space="preserve"> закупок</w:t>
      </w:r>
    </w:p>
    <w:p w:rsidR="0080080F" w:rsidRPr="00445013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445013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445013">
        <w:rPr>
          <w:rFonts w:eastAsiaTheme="minorHAnsi" w:cs="Times New Roman"/>
          <w:kern w:val="0"/>
          <w:lang w:eastAsia="en-US"/>
        </w:rPr>
        <w:t>E-</w:t>
      </w:r>
      <w:proofErr w:type="spellStart"/>
      <w:r w:rsidRPr="00445013">
        <w:rPr>
          <w:rFonts w:eastAsiaTheme="minorHAnsi" w:cs="Times New Roman"/>
          <w:kern w:val="0"/>
          <w:lang w:eastAsia="en-US"/>
        </w:rPr>
        <w:t>mail</w:t>
      </w:r>
      <w:proofErr w:type="spellEnd"/>
      <w:r w:rsidRPr="00445013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445013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p w:rsidR="00D53757" w:rsidRPr="00980552" w:rsidRDefault="00D53757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577"/>
        <w:gridCol w:w="1134"/>
        <w:gridCol w:w="821"/>
        <w:gridCol w:w="1305"/>
        <w:gridCol w:w="1418"/>
      </w:tblGrid>
      <w:tr w:rsidR="00BF2A72" w:rsidRPr="00DA217E" w:rsidTr="00BF2A72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F2A72" w:rsidRPr="00DA217E" w:rsidRDefault="00BF2A72" w:rsidP="00BF2A72">
            <w:pPr>
              <w:rPr>
                <w:rFonts w:cs="Times New Roman"/>
                <w:b/>
                <w:sz w:val="20"/>
                <w:szCs w:val="20"/>
              </w:rPr>
            </w:pPr>
            <w:r w:rsidRPr="00DA217E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BF2A72" w:rsidRPr="00DA217E" w:rsidRDefault="00BF2A72" w:rsidP="00BF2A72">
            <w:pPr>
              <w:rPr>
                <w:rFonts w:cs="Times New Roman"/>
                <w:b/>
                <w:sz w:val="20"/>
                <w:szCs w:val="20"/>
              </w:rPr>
            </w:pPr>
            <w:r w:rsidRPr="00DA217E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577" w:type="dxa"/>
            <w:shd w:val="clear" w:color="000000" w:fill="FFFFFF"/>
            <w:vAlign w:val="center"/>
            <w:hideMark/>
          </w:tcPr>
          <w:p w:rsidR="00BF2A72" w:rsidRPr="00DA217E" w:rsidRDefault="00BF2A72" w:rsidP="00BF2A72">
            <w:pPr>
              <w:rPr>
                <w:rFonts w:cs="Times New Roman"/>
                <w:b/>
                <w:sz w:val="20"/>
                <w:szCs w:val="20"/>
              </w:rPr>
            </w:pPr>
            <w:r w:rsidRPr="00DA217E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A72" w:rsidRPr="00DA217E" w:rsidRDefault="00BF2A72" w:rsidP="00BF2A72">
            <w:pPr>
              <w:rPr>
                <w:rFonts w:cs="Times New Roman"/>
                <w:b/>
                <w:sz w:val="20"/>
                <w:szCs w:val="20"/>
              </w:rPr>
            </w:pPr>
            <w:r w:rsidRPr="00DA217E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BF2A72" w:rsidRPr="00DA217E" w:rsidRDefault="00BF2A72" w:rsidP="00BF2A72">
            <w:pPr>
              <w:rPr>
                <w:rFonts w:cs="Times New Roman"/>
                <w:b/>
                <w:sz w:val="20"/>
                <w:szCs w:val="20"/>
              </w:rPr>
            </w:pPr>
            <w:r w:rsidRPr="00DA217E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:rsidR="00BF2A72" w:rsidRPr="00DA217E" w:rsidRDefault="00BF2A72" w:rsidP="00BF2A72">
            <w:pPr>
              <w:rPr>
                <w:rFonts w:cs="Times New Roman"/>
                <w:b/>
                <w:sz w:val="20"/>
                <w:szCs w:val="20"/>
              </w:rPr>
            </w:pPr>
            <w:r w:rsidRPr="00DA217E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2A72" w:rsidRPr="00DA217E" w:rsidRDefault="00BF2A72" w:rsidP="00BF2A72">
            <w:pPr>
              <w:rPr>
                <w:rFonts w:cs="Times New Roman"/>
                <w:b/>
                <w:sz w:val="20"/>
                <w:szCs w:val="20"/>
              </w:rPr>
            </w:pPr>
            <w:r w:rsidRPr="00DA217E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BF2A72" w:rsidRPr="00DA217E" w:rsidTr="00BF2A7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F2A72" w:rsidRPr="00DA217E" w:rsidRDefault="00BF2A72" w:rsidP="00BF2A72">
            <w:pPr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BF2A72" w:rsidRPr="00BF2A72" w:rsidRDefault="00301B5D" w:rsidP="00301B5D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01B5D">
              <w:rPr>
                <w:rFonts w:cs="Times New Roman"/>
                <w:color w:val="000000"/>
                <w:sz w:val="20"/>
                <w:szCs w:val="20"/>
              </w:rPr>
              <w:t>Интродьюсерная</w:t>
            </w:r>
            <w:proofErr w:type="spellEnd"/>
            <w:r w:rsidRPr="00301B5D">
              <w:rPr>
                <w:rFonts w:cs="Times New Roman"/>
                <w:color w:val="000000"/>
                <w:sz w:val="20"/>
                <w:szCs w:val="20"/>
              </w:rPr>
              <w:t xml:space="preserve"> Система с </w:t>
            </w:r>
            <w:proofErr w:type="spellStart"/>
            <w:r w:rsidRPr="00301B5D">
              <w:rPr>
                <w:rFonts w:cs="Times New Roman"/>
                <w:color w:val="000000"/>
                <w:sz w:val="20"/>
                <w:szCs w:val="20"/>
              </w:rPr>
              <w:t>нитиноловым</w:t>
            </w:r>
            <w:proofErr w:type="spellEnd"/>
            <w:r w:rsidRPr="00301B5D">
              <w:rPr>
                <w:rFonts w:cs="Times New Roman"/>
                <w:color w:val="000000"/>
                <w:sz w:val="20"/>
                <w:szCs w:val="20"/>
              </w:rPr>
              <w:t xml:space="preserve"> проводником</w:t>
            </w: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. </w:t>
            </w:r>
            <w:r w:rsidRPr="00301B5D">
              <w:rPr>
                <w:rFonts w:cs="Times New Roman"/>
                <w:color w:val="000000"/>
                <w:sz w:val="20"/>
                <w:szCs w:val="20"/>
              </w:rPr>
              <w:t xml:space="preserve">Набор для </w:t>
            </w:r>
            <w:proofErr w:type="spellStart"/>
            <w:r w:rsidRPr="00301B5D">
              <w:rPr>
                <w:rFonts w:cs="Times New Roman"/>
                <w:color w:val="000000"/>
                <w:sz w:val="20"/>
                <w:szCs w:val="20"/>
              </w:rPr>
              <w:t>несосудистого</w:t>
            </w:r>
            <w:proofErr w:type="spellEnd"/>
            <w:r w:rsidRPr="00301B5D">
              <w:rPr>
                <w:rFonts w:cs="Times New Roman"/>
                <w:color w:val="000000"/>
                <w:sz w:val="20"/>
                <w:szCs w:val="20"/>
              </w:rPr>
              <w:t xml:space="preserve"> мини доступа в процедурах дренирования. В наборе: </w:t>
            </w:r>
            <w:proofErr w:type="spellStart"/>
            <w:r w:rsidRPr="00301B5D">
              <w:rPr>
                <w:rFonts w:cs="Times New Roman"/>
                <w:color w:val="000000"/>
                <w:sz w:val="20"/>
                <w:szCs w:val="20"/>
              </w:rPr>
              <w:t>коаксильный</w:t>
            </w:r>
            <w:proofErr w:type="spellEnd"/>
            <w:r w:rsidRPr="00301B5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1B5D">
              <w:rPr>
                <w:rFonts w:cs="Times New Roman"/>
                <w:color w:val="000000"/>
                <w:sz w:val="20"/>
                <w:szCs w:val="20"/>
              </w:rPr>
              <w:t>интродьюсер</w:t>
            </w:r>
            <w:proofErr w:type="spellEnd"/>
            <w:r w:rsidRPr="00301B5D">
              <w:rPr>
                <w:rFonts w:cs="Times New Roman"/>
                <w:color w:val="000000"/>
                <w:sz w:val="20"/>
                <w:szCs w:val="20"/>
              </w:rPr>
              <w:t xml:space="preserve"> 6F 20см, дилататор 4F, жесткая канюля, </w:t>
            </w:r>
            <w:proofErr w:type="spellStart"/>
            <w:r w:rsidRPr="00301B5D">
              <w:rPr>
                <w:rFonts w:cs="Times New Roman"/>
                <w:color w:val="000000"/>
                <w:sz w:val="20"/>
                <w:szCs w:val="20"/>
              </w:rPr>
              <w:t>интродьюсерная</w:t>
            </w:r>
            <w:proofErr w:type="spellEnd"/>
            <w:r w:rsidRPr="00301B5D">
              <w:rPr>
                <w:rFonts w:cs="Times New Roman"/>
                <w:color w:val="000000"/>
                <w:sz w:val="20"/>
                <w:szCs w:val="20"/>
              </w:rPr>
              <w:t xml:space="preserve"> игла, стилет троакар 15см 21G, </w:t>
            </w:r>
            <w:proofErr w:type="spellStart"/>
            <w:r w:rsidRPr="00301B5D">
              <w:rPr>
                <w:rFonts w:cs="Times New Roman"/>
                <w:color w:val="000000"/>
                <w:sz w:val="20"/>
                <w:szCs w:val="20"/>
              </w:rPr>
              <w:t>нитиноловый</w:t>
            </w:r>
            <w:proofErr w:type="spellEnd"/>
            <w:r w:rsidRPr="00301B5D">
              <w:rPr>
                <w:rFonts w:cs="Times New Roman"/>
                <w:color w:val="000000"/>
                <w:sz w:val="20"/>
                <w:szCs w:val="20"/>
              </w:rPr>
              <w:t xml:space="preserve"> проводник с платиновым кончиком длиной 60см 0.018", PTFE проводник из нержавеющей стали длиной 150см 0.038" с двойным рабочим кончиком (прямым и J 3мм).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F2A72" w:rsidRPr="00BF2A72" w:rsidRDefault="00301B5D" w:rsidP="00BF2A7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BF2A72" w:rsidRPr="00BF2A72" w:rsidRDefault="00301B5D" w:rsidP="00BF2A7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BF2A72" w:rsidRPr="005443E2" w:rsidRDefault="00301B5D" w:rsidP="00BF2A7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58800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F2A72" w:rsidRPr="005443E2" w:rsidRDefault="00301B5D" w:rsidP="00BF2A7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1 176 000,00</w:t>
            </w:r>
          </w:p>
        </w:tc>
      </w:tr>
      <w:tr w:rsidR="00301B5D" w:rsidRPr="00DA217E" w:rsidTr="00BF2A7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01B5D" w:rsidRPr="00301B5D" w:rsidRDefault="00301B5D" w:rsidP="00BF2A7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301B5D" w:rsidRPr="00BF2A72" w:rsidRDefault="00301B5D" w:rsidP="00301B5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01B5D">
              <w:rPr>
                <w:rFonts w:cs="Times New Roman"/>
                <w:color w:val="000000"/>
                <w:sz w:val="20"/>
                <w:szCs w:val="20"/>
              </w:rPr>
              <w:t>Катетер дренажный</w:t>
            </w: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. </w:t>
            </w:r>
            <w:r w:rsidRPr="00301B5D">
              <w:rPr>
                <w:rFonts w:cs="Times New Roman"/>
                <w:color w:val="000000"/>
                <w:sz w:val="20"/>
                <w:szCs w:val="20"/>
              </w:rPr>
              <w:t xml:space="preserve">Катетер дренажный многофункциональный Материал </w:t>
            </w:r>
            <w:proofErr w:type="spellStart"/>
            <w:r w:rsidRPr="00301B5D">
              <w:rPr>
                <w:rFonts w:cs="Times New Roman"/>
                <w:color w:val="000000"/>
                <w:sz w:val="20"/>
                <w:szCs w:val="20"/>
              </w:rPr>
              <w:t>Ultrathane</w:t>
            </w:r>
            <w:proofErr w:type="spellEnd"/>
            <w:r w:rsidRPr="00301B5D">
              <w:rPr>
                <w:rFonts w:cs="Times New Roman"/>
                <w:color w:val="000000"/>
                <w:sz w:val="20"/>
                <w:szCs w:val="20"/>
              </w:rPr>
              <w:t xml:space="preserve"> Суживающийся кончик </w:t>
            </w: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типа </w:t>
            </w:r>
            <w:proofErr w:type="spellStart"/>
            <w:r w:rsidRPr="00301B5D">
              <w:rPr>
                <w:rFonts w:cs="Times New Roman"/>
                <w:color w:val="000000"/>
                <w:sz w:val="20"/>
                <w:szCs w:val="20"/>
              </w:rPr>
              <w:t>Intro-Tip</w:t>
            </w:r>
            <w:proofErr w:type="spellEnd"/>
            <w:r w:rsidRPr="00301B5D">
              <w:rPr>
                <w:rFonts w:cs="Times New Roman"/>
                <w:color w:val="000000"/>
                <w:sz w:val="20"/>
                <w:szCs w:val="20"/>
              </w:rPr>
              <w:t xml:space="preserve"> замок </w:t>
            </w: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типа </w:t>
            </w:r>
            <w:proofErr w:type="spellStart"/>
            <w:r w:rsidRPr="00301B5D">
              <w:rPr>
                <w:rFonts w:cs="Times New Roman"/>
                <w:color w:val="000000"/>
                <w:sz w:val="20"/>
                <w:szCs w:val="20"/>
              </w:rPr>
              <w:t>Mac-Loc</w:t>
            </w:r>
            <w:proofErr w:type="spellEnd"/>
            <w:r w:rsidRPr="00301B5D">
              <w:rPr>
                <w:rFonts w:cs="Times New Roman"/>
                <w:color w:val="000000"/>
                <w:sz w:val="20"/>
                <w:szCs w:val="20"/>
              </w:rPr>
              <w:t xml:space="preserve"> Наборы 5.0-7.0 Френч включают 1 жесткую проводниковую канюлю со стальным стилетом. Наборы 8.5. Френч и более включают 2 проводниковые канюли со стальным стилетом (жесткую и гибкую) Диаметр катетера 5.0, 6,3 7.0, 8,5; 10,2; 12,0 или 14,0 Френч, совместимый проводник .018, .035, .038 дюймов, длина катетера 15 или 25 см, количество боковых отверстий 5, калибр иглы 23 UTW, 19 UTW или 18 </w:t>
            </w:r>
            <w:proofErr w:type="spellStart"/>
            <w:r w:rsidRPr="00301B5D">
              <w:rPr>
                <w:rFonts w:cs="Times New Roman"/>
                <w:color w:val="000000"/>
                <w:sz w:val="20"/>
                <w:szCs w:val="20"/>
              </w:rPr>
              <w:t>Gage</w:t>
            </w:r>
            <w:proofErr w:type="spellEnd"/>
            <w:r w:rsidRPr="00301B5D">
              <w:rPr>
                <w:rFonts w:cs="Times New Roman"/>
                <w:color w:val="000000"/>
                <w:sz w:val="20"/>
                <w:szCs w:val="20"/>
              </w:rPr>
              <w:t>. Размеры по заявке заказчика.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01B5D" w:rsidRPr="00BF2A72" w:rsidRDefault="00301B5D" w:rsidP="00BF2A7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 xml:space="preserve">Штук 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301B5D" w:rsidRPr="00BF2A72" w:rsidRDefault="00301B5D" w:rsidP="00BF2A7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301B5D" w:rsidRPr="005443E2" w:rsidRDefault="00301B5D" w:rsidP="00BF2A7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69890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01B5D" w:rsidRPr="005443E2" w:rsidRDefault="00301B5D" w:rsidP="00BF2A7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4 892 300,00</w:t>
            </w:r>
          </w:p>
        </w:tc>
      </w:tr>
    </w:tbl>
    <w:p w:rsidR="0048597F" w:rsidRPr="00301B5D" w:rsidRDefault="00D53757" w:rsidP="00301B5D">
      <w:pPr>
        <w:ind w:firstLine="708"/>
        <w:jc w:val="both"/>
        <w:rPr>
          <w:sz w:val="22"/>
          <w:szCs w:val="22"/>
        </w:rPr>
      </w:pPr>
      <w:r w:rsidRPr="00301B5D">
        <w:rPr>
          <w:sz w:val="22"/>
          <w:szCs w:val="22"/>
        </w:rPr>
        <w:t>Выделенная</w:t>
      </w:r>
      <w:r w:rsidR="0080080F" w:rsidRPr="00301B5D">
        <w:rPr>
          <w:sz w:val="22"/>
          <w:szCs w:val="22"/>
        </w:rPr>
        <w:t xml:space="preserve"> сумма</w:t>
      </w:r>
      <w:r w:rsidR="007773A2" w:rsidRPr="00301B5D">
        <w:rPr>
          <w:sz w:val="22"/>
          <w:szCs w:val="22"/>
        </w:rPr>
        <w:t xml:space="preserve"> </w:t>
      </w:r>
      <w:r w:rsidR="00301B5D" w:rsidRPr="00301B5D">
        <w:rPr>
          <w:rFonts w:eastAsia="Times New Roman" w:cs="Times New Roman"/>
          <w:kern w:val="0"/>
          <w:sz w:val="22"/>
          <w:szCs w:val="22"/>
          <w:lang w:val="kk-KZ" w:eastAsia="ru-RU" w:bidi="ar-SA"/>
        </w:rPr>
        <w:t>6 068 300</w:t>
      </w:r>
      <w:r w:rsidR="00980552" w:rsidRPr="00301B5D">
        <w:rPr>
          <w:rFonts w:eastAsia="Times New Roman" w:cs="Times New Roman"/>
          <w:kern w:val="0"/>
          <w:sz w:val="22"/>
          <w:szCs w:val="22"/>
          <w:lang w:eastAsia="ru-RU" w:bidi="ar-SA"/>
        </w:rPr>
        <w:t>,</w:t>
      </w:r>
      <w:r w:rsidR="00B2483B" w:rsidRPr="00301B5D">
        <w:rPr>
          <w:rFonts w:eastAsia="Times New Roman" w:cs="Times New Roman"/>
          <w:kern w:val="0"/>
          <w:sz w:val="22"/>
          <w:szCs w:val="22"/>
          <w:lang w:eastAsia="ru-RU" w:bidi="ar-SA"/>
        </w:rPr>
        <w:t>00</w:t>
      </w:r>
      <w:r w:rsidR="0048597F" w:rsidRPr="00301B5D">
        <w:rPr>
          <w:sz w:val="22"/>
          <w:szCs w:val="22"/>
        </w:rPr>
        <w:t xml:space="preserve"> (</w:t>
      </w:r>
      <w:r w:rsidR="00301B5D" w:rsidRPr="00301B5D">
        <w:rPr>
          <w:sz w:val="22"/>
          <w:szCs w:val="22"/>
          <w:lang w:val="kk-KZ"/>
        </w:rPr>
        <w:t>шесть миллионов шестьдесят восемь тысяч триста</w:t>
      </w:r>
      <w:r w:rsidR="0048597F" w:rsidRPr="00301B5D">
        <w:rPr>
          <w:sz w:val="22"/>
          <w:szCs w:val="22"/>
        </w:rPr>
        <w:t>) тенге.</w:t>
      </w:r>
    </w:p>
    <w:p w:rsidR="0080080F" w:rsidRPr="00301B5D" w:rsidRDefault="0080080F" w:rsidP="0048597F">
      <w:pPr>
        <w:jc w:val="both"/>
        <w:rPr>
          <w:rFonts w:cs="Times New Roman"/>
          <w:sz w:val="22"/>
          <w:szCs w:val="22"/>
        </w:rPr>
      </w:pPr>
      <w:r w:rsidRPr="00301B5D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301B5D">
        <w:rPr>
          <w:rFonts w:cs="Times New Roman"/>
          <w:sz w:val="22"/>
          <w:szCs w:val="22"/>
        </w:rPr>
        <w:t>5</w:t>
      </w:r>
      <w:r w:rsidR="00166458" w:rsidRPr="00301B5D">
        <w:rPr>
          <w:rFonts w:cs="Times New Roman"/>
          <w:sz w:val="22"/>
          <w:szCs w:val="22"/>
        </w:rPr>
        <w:t xml:space="preserve"> </w:t>
      </w:r>
      <w:r w:rsidR="00DC56C3" w:rsidRPr="00301B5D">
        <w:rPr>
          <w:rFonts w:cs="Times New Roman"/>
          <w:sz w:val="22"/>
          <w:szCs w:val="22"/>
        </w:rPr>
        <w:t>-</w:t>
      </w:r>
      <w:r w:rsidR="00166458" w:rsidRPr="00301B5D">
        <w:rPr>
          <w:rFonts w:cs="Times New Roman"/>
          <w:sz w:val="22"/>
          <w:szCs w:val="22"/>
        </w:rPr>
        <w:t xml:space="preserve"> и</w:t>
      </w:r>
      <w:r w:rsidR="00DC56C3" w:rsidRPr="00301B5D">
        <w:rPr>
          <w:rFonts w:cs="Times New Roman"/>
          <w:sz w:val="22"/>
          <w:szCs w:val="22"/>
        </w:rPr>
        <w:t xml:space="preserve"> календарных дней </w:t>
      </w:r>
      <w:r w:rsidRPr="00301B5D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301B5D" w:rsidRDefault="0080080F" w:rsidP="0048597F">
      <w:pPr>
        <w:jc w:val="both"/>
        <w:rPr>
          <w:rFonts w:cs="Times New Roman"/>
          <w:sz w:val="22"/>
          <w:szCs w:val="22"/>
        </w:rPr>
      </w:pPr>
      <w:r w:rsidRPr="00301B5D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301B5D">
        <w:rPr>
          <w:rFonts w:cs="Times New Roman"/>
          <w:sz w:val="22"/>
          <w:szCs w:val="22"/>
        </w:rPr>
        <w:t>Сызганова</w:t>
      </w:r>
      <w:proofErr w:type="spellEnd"/>
      <w:r w:rsidRPr="00301B5D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301B5D">
        <w:rPr>
          <w:rFonts w:cs="Times New Roman"/>
          <w:sz w:val="22"/>
          <w:szCs w:val="22"/>
        </w:rPr>
        <w:t>Алмалинский</w:t>
      </w:r>
      <w:proofErr w:type="spellEnd"/>
      <w:r w:rsidR="00562323" w:rsidRPr="00301B5D">
        <w:rPr>
          <w:rFonts w:cs="Times New Roman"/>
          <w:sz w:val="22"/>
          <w:szCs w:val="22"/>
        </w:rPr>
        <w:t xml:space="preserve"> </w:t>
      </w:r>
      <w:proofErr w:type="gramStart"/>
      <w:r w:rsidRPr="00301B5D">
        <w:rPr>
          <w:rFonts w:cs="Times New Roman"/>
          <w:sz w:val="22"/>
          <w:szCs w:val="22"/>
        </w:rPr>
        <w:t>р</w:t>
      </w:r>
      <w:proofErr w:type="gramEnd"/>
      <w:r w:rsidRPr="00301B5D">
        <w:rPr>
          <w:rFonts w:cs="Times New Roman"/>
          <w:sz w:val="22"/>
          <w:szCs w:val="22"/>
        </w:rPr>
        <w:t xml:space="preserve">/н, ул. </w:t>
      </w:r>
      <w:proofErr w:type="spellStart"/>
      <w:r w:rsidRPr="00301B5D">
        <w:rPr>
          <w:rFonts w:cs="Times New Roman"/>
          <w:sz w:val="22"/>
          <w:szCs w:val="22"/>
        </w:rPr>
        <w:t>Желтоксан</w:t>
      </w:r>
      <w:proofErr w:type="spellEnd"/>
      <w:r w:rsidRPr="00301B5D">
        <w:rPr>
          <w:rFonts w:cs="Times New Roman"/>
          <w:sz w:val="22"/>
          <w:szCs w:val="22"/>
        </w:rPr>
        <w:t>, 62, аптечный склад.</w:t>
      </w:r>
    </w:p>
    <w:p w:rsidR="0080080F" w:rsidRPr="00301B5D" w:rsidRDefault="0080080F" w:rsidP="0048597F">
      <w:pPr>
        <w:jc w:val="both"/>
        <w:rPr>
          <w:rFonts w:cs="Times New Roman"/>
          <w:sz w:val="22"/>
          <w:szCs w:val="22"/>
        </w:rPr>
      </w:pPr>
      <w:r w:rsidRPr="00301B5D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301B5D">
        <w:rPr>
          <w:rFonts w:cs="Times New Roman"/>
          <w:sz w:val="22"/>
          <w:szCs w:val="22"/>
        </w:rPr>
        <w:t>Алмалинский</w:t>
      </w:r>
      <w:proofErr w:type="spellEnd"/>
      <w:r w:rsidRPr="00301B5D">
        <w:rPr>
          <w:rFonts w:cs="Times New Roman"/>
          <w:sz w:val="22"/>
          <w:szCs w:val="22"/>
        </w:rPr>
        <w:t xml:space="preserve"> </w:t>
      </w:r>
      <w:proofErr w:type="gramStart"/>
      <w:r w:rsidRPr="00301B5D">
        <w:rPr>
          <w:rFonts w:cs="Times New Roman"/>
          <w:sz w:val="22"/>
          <w:szCs w:val="22"/>
        </w:rPr>
        <w:t>р</w:t>
      </w:r>
      <w:proofErr w:type="gramEnd"/>
      <w:r w:rsidRPr="00301B5D">
        <w:rPr>
          <w:rFonts w:cs="Times New Roman"/>
          <w:sz w:val="22"/>
          <w:szCs w:val="22"/>
        </w:rPr>
        <w:t xml:space="preserve">/н, ул. </w:t>
      </w:r>
      <w:proofErr w:type="spellStart"/>
      <w:r w:rsidRPr="00301B5D">
        <w:rPr>
          <w:rFonts w:cs="Times New Roman"/>
          <w:sz w:val="22"/>
          <w:szCs w:val="22"/>
        </w:rPr>
        <w:t>Желтоксан</w:t>
      </w:r>
      <w:proofErr w:type="spellEnd"/>
      <w:r w:rsidRPr="00301B5D">
        <w:rPr>
          <w:rFonts w:cs="Times New Roman"/>
          <w:sz w:val="22"/>
          <w:szCs w:val="22"/>
        </w:rPr>
        <w:t xml:space="preserve">, 51, кабинет 201, дата </w:t>
      </w:r>
      <w:r w:rsidR="00301B5D" w:rsidRPr="00301B5D">
        <w:rPr>
          <w:rFonts w:cs="Times New Roman"/>
          <w:sz w:val="22"/>
          <w:szCs w:val="22"/>
          <w:lang w:val="kk-KZ"/>
        </w:rPr>
        <w:t>1</w:t>
      </w:r>
      <w:r w:rsidR="00465DCA" w:rsidRPr="00301B5D">
        <w:rPr>
          <w:rFonts w:cs="Times New Roman"/>
          <w:sz w:val="22"/>
          <w:szCs w:val="22"/>
          <w:lang w:val="kk-KZ"/>
        </w:rPr>
        <w:t>8</w:t>
      </w:r>
      <w:r w:rsidRPr="00301B5D">
        <w:rPr>
          <w:rFonts w:cs="Times New Roman"/>
          <w:sz w:val="22"/>
          <w:szCs w:val="22"/>
        </w:rPr>
        <w:t>.</w:t>
      </w:r>
      <w:r w:rsidR="00685AF2" w:rsidRPr="00301B5D">
        <w:rPr>
          <w:rFonts w:cs="Times New Roman"/>
          <w:sz w:val="22"/>
          <w:szCs w:val="22"/>
          <w:lang w:val="kk-KZ"/>
        </w:rPr>
        <w:t>0</w:t>
      </w:r>
      <w:r w:rsidR="00465DCA" w:rsidRPr="00301B5D">
        <w:rPr>
          <w:rFonts w:cs="Times New Roman"/>
          <w:sz w:val="22"/>
          <w:szCs w:val="22"/>
          <w:lang w:val="kk-KZ"/>
        </w:rPr>
        <w:t>6</w:t>
      </w:r>
      <w:r w:rsidRPr="00301B5D">
        <w:rPr>
          <w:rFonts w:cs="Times New Roman"/>
          <w:sz w:val="22"/>
          <w:szCs w:val="22"/>
        </w:rPr>
        <w:t>.20</w:t>
      </w:r>
      <w:r w:rsidR="00CD1603" w:rsidRPr="00301B5D">
        <w:rPr>
          <w:rFonts w:cs="Times New Roman"/>
          <w:sz w:val="22"/>
          <w:szCs w:val="22"/>
        </w:rPr>
        <w:t>2</w:t>
      </w:r>
      <w:r w:rsidR="005F237D" w:rsidRPr="00301B5D">
        <w:rPr>
          <w:rFonts w:cs="Times New Roman"/>
          <w:sz w:val="22"/>
          <w:szCs w:val="22"/>
        </w:rPr>
        <w:t>1</w:t>
      </w:r>
      <w:r w:rsidRPr="00301B5D">
        <w:rPr>
          <w:rFonts w:cs="Times New Roman"/>
          <w:sz w:val="22"/>
          <w:szCs w:val="22"/>
        </w:rPr>
        <w:t xml:space="preserve">г. время: </w:t>
      </w:r>
      <w:r w:rsidR="0048597F" w:rsidRPr="00301B5D">
        <w:rPr>
          <w:rFonts w:cs="Times New Roman"/>
          <w:sz w:val="22"/>
          <w:szCs w:val="22"/>
        </w:rPr>
        <w:t>09</w:t>
      </w:r>
      <w:r w:rsidRPr="00301B5D">
        <w:rPr>
          <w:rFonts w:cs="Times New Roman"/>
          <w:sz w:val="22"/>
          <w:szCs w:val="22"/>
        </w:rPr>
        <w:t>:</w:t>
      </w:r>
      <w:r w:rsidR="0048597F" w:rsidRPr="00301B5D">
        <w:rPr>
          <w:rFonts w:cs="Times New Roman"/>
          <w:sz w:val="22"/>
          <w:szCs w:val="22"/>
        </w:rPr>
        <w:t>00</w:t>
      </w:r>
      <w:r w:rsidRPr="00301B5D">
        <w:rPr>
          <w:rFonts w:cs="Times New Roman"/>
          <w:sz w:val="22"/>
          <w:szCs w:val="22"/>
        </w:rPr>
        <w:t xml:space="preserve"> часов.</w:t>
      </w:r>
    </w:p>
    <w:p w:rsidR="0080080F" w:rsidRPr="00301B5D" w:rsidRDefault="0080080F" w:rsidP="0048597F">
      <w:pPr>
        <w:jc w:val="both"/>
        <w:rPr>
          <w:rFonts w:cs="Times New Roman"/>
          <w:sz w:val="22"/>
          <w:szCs w:val="22"/>
        </w:rPr>
      </w:pPr>
      <w:r w:rsidRPr="00301B5D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301B5D" w:rsidRPr="00301B5D">
        <w:rPr>
          <w:rFonts w:cs="Times New Roman"/>
          <w:sz w:val="22"/>
          <w:szCs w:val="22"/>
          <w:lang w:val="kk-KZ"/>
        </w:rPr>
        <w:t>1</w:t>
      </w:r>
      <w:r w:rsidR="00465DCA" w:rsidRPr="00301B5D">
        <w:rPr>
          <w:rFonts w:cs="Times New Roman"/>
          <w:sz w:val="22"/>
          <w:szCs w:val="22"/>
          <w:lang w:val="kk-KZ"/>
        </w:rPr>
        <w:t>8</w:t>
      </w:r>
      <w:r w:rsidRPr="00301B5D">
        <w:rPr>
          <w:rFonts w:cs="Times New Roman"/>
          <w:sz w:val="22"/>
          <w:szCs w:val="22"/>
        </w:rPr>
        <w:t>.</w:t>
      </w:r>
      <w:r w:rsidR="00685AF2" w:rsidRPr="00301B5D">
        <w:rPr>
          <w:rFonts w:cs="Times New Roman"/>
          <w:sz w:val="22"/>
          <w:szCs w:val="22"/>
          <w:lang w:val="kk-KZ"/>
        </w:rPr>
        <w:t>0</w:t>
      </w:r>
      <w:r w:rsidR="00465DCA" w:rsidRPr="00301B5D">
        <w:rPr>
          <w:rFonts w:cs="Times New Roman"/>
          <w:sz w:val="22"/>
          <w:szCs w:val="22"/>
          <w:lang w:val="kk-KZ"/>
        </w:rPr>
        <w:t>6</w:t>
      </w:r>
      <w:r w:rsidRPr="00301B5D">
        <w:rPr>
          <w:rFonts w:cs="Times New Roman"/>
          <w:sz w:val="22"/>
          <w:szCs w:val="22"/>
        </w:rPr>
        <w:t>.</w:t>
      </w:r>
      <w:r w:rsidR="005F237D" w:rsidRPr="00301B5D">
        <w:rPr>
          <w:rFonts w:cs="Times New Roman"/>
          <w:sz w:val="22"/>
          <w:szCs w:val="22"/>
        </w:rPr>
        <w:t>2021</w:t>
      </w:r>
      <w:r w:rsidRPr="00301B5D">
        <w:rPr>
          <w:rFonts w:cs="Times New Roman"/>
          <w:sz w:val="22"/>
          <w:szCs w:val="22"/>
        </w:rPr>
        <w:t xml:space="preserve">. время </w:t>
      </w:r>
      <w:r w:rsidR="0048597F" w:rsidRPr="00301B5D">
        <w:rPr>
          <w:rFonts w:cs="Times New Roman"/>
          <w:sz w:val="22"/>
          <w:szCs w:val="22"/>
        </w:rPr>
        <w:t>10</w:t>
      </w:r>
      <w:r w:rsidRPr="00301B5D">
        <w:rPr>
          <w:rFonts w:cs="Times New Roman"/>
          <w:sz w:val="22"/>
          <w:szCs w:val="22"/>
        </w:rPr>
        <w:t>:</w:t>
      </w:r>
      <w:r w:rsidR="00B2483B" w:rsidRPr="00301B5D">
        <w:rPr>
          <w:rFonts w:cs="Times New Roman"/>
          <w:sz w:val="22"/>
          <w:szCs w:val="22"/>
        </w:rPr>
        <w:t>0</w:t>
      </w:r>
      <w:r w:rsidR="00194E07" w:rsidRPr="00301B5D">
        <w:rPr>
          <w:rFonts w:cs="Times New Roman"/>
          <w:sz w:val="22"/>
          <w:szCs w:val="22"/>
        </w:rPr>
        <w:t>0</w:t>
      </w:r>
      <w:r w:rsidRPr="00301B5D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301B5D">
        <w:rPr>
          <w:rFonts w:cs="Times New Roman"/>
          <w:sz w:val="22"/>
          <w:szCs w:val="22"/>
        </w:rPr>
        <w:t>Алмалинский</w:t>
      </w:r>
      <w:proofErr w:type="spellEnd"/>
      <w:r w:rsidR="00562323" w:rsidRPr="00301B5D">
        <w:rPr>
          <w:rFonts w:cs="Times New Roman"/>
          <w:sz w:val="22"/>
          <w:szCs w:val="22"/>
        </w:rPr>
        <w:t xml:space="preserve"> </w:t>
      </w:r>
      <w:proofErr w:type="gramStart"/>
      <w:r w:rsidRPr="00301B5D">
        <w:rPr>
          <w:rFonts w:cs="Times New Roman"/>
          <w:sz w:val="22"/>
          <w:szCs w:val="22"/>
        </w:rPr>
        <w:t>р</w:t>
      </w:r>
      <w:proofErr w:type="gramEnd"/>
      <w:r w:rsidRPr="00301B5D">
        <w:rPr>
          <w:rFonts w:cs="Times New Roman"/>
          <w:sz w:val="22"/>
          <w:szCs w:val="22"/>
        </w:rPr>
        <w:t xml:space="preserve">/н, ул. </w:t>
      </w:r>
      <w:proofErr w:type="spellStart"/>
      <w:r w:rsidRPr="00301B5D">
        <w:rPr>
          <w:rFonts w:cs="Times New Roman"/>
          <w:sz w:val="22"/>
          <w:szCs w:val="22"/>
        </w:rPr>
        <w:t>Желтоксан</w:t>
      </w:r>
      <w:proofErr w:type="spellEnd"/>
      <w:r w:rsidRPr="00301B5D">
        <w:rPr>
          <w:rFonts w:cs="Times New Roman"/>
          <w:sz w:val="22"/>
          <w:szCs w:val="22"/>
        </w:rPr>
        <w:t>, 51, кабинет 201.</w:t>
      </w:r>
    </w:p>
    <w:p w:rsidR="0080080F" w:rsidRPr="00301B5D" w:rsidRDefault="0080080F" w:rsidP="0048597F">
      <w:pPr>
        <w:ind w:firstLine="708"/>
        <w:jc w:val="both"/>
        <w:rPr>
          <w:rFonts w:cs="Times New Roman"/>
          <w:b/>
          <w:sz w:val="22"/>
          <w:szCs w:val="22"/>
        </w:rPr>
      </w:pPr>
      <w:r w:rsidRPr="00301B5D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301B5D">
        <w:rPr>
          <w:rFonts w:cs="Times New Roman"/>
          <w:b/>
          <w:sz w:val="22"/>
          <w:szCs w:val="22"/>
        </w:rPr>
        <w:t>пки, наименование Поставщика и З</w:t>
      </w:r>
      <w:r w:rsidRPr="00301B5D">
        <w:rPr>
          <w:rFonts w:cs="Times New Roman"/>
          <w:b/>
          <w:sz w:val="22"/>
          <w:szCs w:val="22"/>
        </w:rPr>
        <w:t>аказчика.</w:t>
      </w:r>
    </w:p>
    <w:p w:rsidR="0080080F" w:rsidRPr="00301B5D" w:rsidRDefault="0080080F" w:rsidP="0048597F">
      <w:pPr>
        <w:jc w:val="both"/>
        <w:rPr>
          <w:rFonts w:cs="Times New Roman"/>
          <w:sz w:val="22"/>
          <w:szCs w:val="22"/>
        </w:rPr>
      </w:pPr>
      <w:r w:rsidRPr="00301B5D">
        <w:rPr>
          <w:rFonts w:cs="Times New Roman"/>
          <w:sz w:val="22"/>
          <w:szCs w:val="22"/>
        </w:rPr>
        <w:lastRenderedPageBreak/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301B5D" w:rsidRDefault="0080080F" w:rsidP="0048597F">
      <w:pPr>
        <w:jc w:val="both"/>
        <w:rPr>
          <w:rStyle w:val="s0"/>
          <w:sz w:val="22"/>
          <w:szCs w:val="22"/>
        </w:rPr>
      </w:pPr>
      <w:r w:rsidRPr="00301B5D">
        <w:rPr>
          <w:rStyle w:val="s0"/>
          <w:sz w:val="22"/>
          <w:szCs w:val="22"/>
        </w:rPr>
        <w:t>2.Конверт содержит ценовое предложение</w:t>
      </w:r>
      <w:r w:rsidR="00946F21" w:rsidRPr="00301B5D">
        <w:rPr>
          <w:rStyle w:val="s0"/>
          <w:sz w:val="22"/>
          <w:szCs w:val="22"/>
        </w:rPr>
        <w:t>,</w:t>
      </w:r>
      <w:r w:rsidRPr="00301B5D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0" w:name="SUB10900"/>
      <w:bookmarkEnd w:id="0"/>
      <w:r w:rsidR="00946F21" w:rsidRPr="00301B5D">
        <w:rPr>
          <w:rStyle w:val="s0"/>
          <w:sz w:val="22"/>
          <w:szCs w:val="22"/>
        </w:rPr>
        <w:t>.</w:t>
      </w:r>
    </w:p>
    <w:p w:rsidR="0080080F" w:rsidRPr="00301B5D" w:rsidRDefault="0080080F" w:rsidP="0048597F">
      <w:pPr>
        <w:jc w:val="both"/>
        <w:rPr>
          <w:rFonts w:cs="Times New Roman"/>
          <w:sz w:val="22"/>
          <w:szCs w:val="22"/>
        </w:rPr>
      </w:pPr>
      <w:r w:rsidRPr="00301B5D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301B5D">
        <w:rPr>
          <w:rStyle w:val="s0"/>
          <w:sz w:val="22"/>
          <w:szCs w:val="22"/>
        </w:rPr>
        <w:t>роса и типового договора закупа.</w:t>
      </w:r>
    </w:p>
    <w:p w:rsidR="007223B9" w:rsidRPr="00301B5D" w:rsidRDefault="00956B72" w:rsidP="0048597F">
      <w:pPr>
        <w:jc w:val="both"/>
        <w:rPr>
          <w:rFonts w:cs="Times New Roman"/>
          <w:sz w:val="22"/>
          <w:szCs w:val="22"/>
        </w:rPr>
      </w:pPr>
      <w:bookmarkStart w:id="1" w:name="SUB11300"/>
      <w:bookmarkEnd w:id="1"/>
      <w:r w:rsidRPr="00301B5D">
        <w:rPr>
          <w:rStyle w:val="s0"/>
          <w:sz w:val="22"/>
          <w:szCs w:val="22"/>
        </w:rPr>
        <w:t>4</w:t>
      </w:r>
      <w:r w:rsidR="0080080F" w:rsidRPr="00301B5D">
        <w:rPr>
          <w:rStyle w:val="s0"/>
          <w:sz w:val="22"/>
          <w:szCs w:val="22"/>
        </w:rPr>
        <w:t xml:space="preserve">. </w:t>
      </w:r>
      <w:r w:rsidR="007223B9" w:rsidRPr="00301B5D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301B5D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301B5D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301B5D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301B5D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301B5D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8" w:history="1">
        <w:r w:rsidRPr="00301B5D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301B5D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301B5D">
        <w:rPr>
          <w:rStyle w:val="s0"/>
          <w:sz w:val="22"/>
          <w:szCs w:val="22"/>
        </w:rPr>
        <w:t>орфанных</w:t>
      </w:r>
      <w:proofErr w:type="spellEnd"/>
      <w:r w:rsidRPr="00301B5D">
        <w:rPr>
          <w:rStyle w:val="s0"/>
          <w:sz w:val="22"/>
          <w:szCs w:val="22"/>
        </w:rPr>
        <w:t xml:space="preserve"> препаратов, включенных в </w:t>
      </w:r>
      <w:hyperlink r:id="rId9" w:history="1">
        <w:r w:rsidRPr="00301B5D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301B5D">
        <w:rPr>
          <w:rStyle w:val="s0"/>
          <w:sz w:val="22"/>
          <w:szCs w:val="22"/>
        </w:rPr>
        <w:t xml:space="preserve"> </w:t>
      </w:r>
      <w:proofErr w:type="spellStart"/>
      <w:r w:rsidRPr="00301B5D">
        <w:rPr>
          <w:rStyle w:val="s0"/>
          <w:sz w:val="22"/>
          <w:szCs w:val="22"/>
        </w:rPr>
        <w:t>орфанных</w:t>
      </w:r>
      <w:proofErr w:type="spellEnd"/>
      <w:r w:rsidRPr="00301B5D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301B5D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301B5D">
        <w:rPr>
          <w:rStyle w:val="s0"/>
          <w:sz w:val="22"/>
          <w:szCs w:val="22"/>
        </w:rPr>
        <w:t>ввезенных</w:t>
      </w:r>
      <w:proofErr w:type="gramEnd"/>
      <w:r w:rsidRPr="00301B5D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301B5D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r w:rsidRPr="00301B5D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301B5D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r w:rsidRPr="00301B5D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301B5D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r w:rsidRPr="00301B5D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301B5D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r w:rsidRPr="00301B5D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301B5D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r w:rsidRPr="00301B5D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301B5D" w:rsidRDefault="009710A9" w:rsidP="0048597F">
      <w:pPr>
        <w:ind w:firstLine="397"/>
        <w:jc w:val="both"/>
        <w:rPr>
          <w:rFonts w:cs="Times New Roman"/>
          <w:sz w:val="22"/>
          <w:szCs w:val="22"/>
        </w:rPr>
      </w:pPr>
      <w:r w:rsidRPr="00301B5D">
        <w:rPr>
          <w:rStyle w:val="s0"/>
          <w:sz w:val="22"/>
          <w:szCs w:val="22"/>
        </w:rPr>
        <w:t>5</w:t>
      </w:r>
      <w:r w:rsidR="007223B9" w:rsidRPr="00301B5D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301B5D">
        <w:rPr>
          <w:rStyle w:val="s0"/>
          <w:sz w:val="22"/>
          <w:szCs w:val="22"/>
        </w:rPr>
        <w:t>на</w:t>
      </w:r>
      <w:proofErr w:type="gramEnd"/>
      <w:r w:rsidR="007223B9" w:rsidRPr="00301B5D">
        <w:rPr>
          <w:rStyle w:val="s0"/>
          <w:sz w:val="22"/>
          <w:szCs w:val="22"/>
        </w:rPr>
        <w:t xml:space="preserve"> закуп;</w:t>
      </w:r>
    </w:p>
    <w:p w:rsidR="007223B9" w:rsidRPr="00301B5D" w:rsidRDefault="009710A9" w:rsidP="0048597F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301B5D">
        <w:rPr>
          <w:rStyle w:val="s0"/>
          <w:sz w:val="22"/>
          <w:szCs w:val="22"/>
        </w:rPr>
        <w:t>6</w:t>
      </w:r>
      <w:r w:rsidR="007223B9" w:rsidRPr="00301B5D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301B5D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301B5D" w:rsidRDefault="007223B9" w:rsidP="0048597F">
      <w:pPr>
        <w:jc w:val="both"/>
        <w:rPr>
          <w:rFonts w:cs="Times New Roman"/>
          <w:sz w:val="22"/>
          <w:szCs w:val="22"/>
        </w:rPr>
      </w:pPr>
      <w:r w:rsidRPr="00301B5D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301B5D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301B5D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10" w:history="1">
        <w:r w:rsidRPr="00301B5D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301B5D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301B5D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301B5D">
        <w:rPr>
          <w:rStyle w:val="s0"/>
          <w:color w:val="auto"/>
          <w:sz w:val="22"/>
          <w:szCs w:val="22"/>
        </w:rPr>
        <w:lastRenderedPageBreak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301B5D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301B5D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301B5D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301B5D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301B5D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301B5D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301B5D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301B5D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301B5D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301B5D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301B5D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301B5D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301B5D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301B5D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301B5D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301B5D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301B5D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301B5D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301B5D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301B5D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301B5D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301B5D" w:rsidRDefault="0080080F" w:rsidP="0048597F">
      <w:pPr>
        <w:jc w:val="both"/>
        <w:rPr>
          <w:rFonts w:cs="Times New Roman"/>
          <w:sz w:val="22"/>
          <w:szCs w:val="22"/>
        </w:rPr>
      </w:pPr>
    </w:p>
    <w:p w:rsidR="009710A9" w:rsidRPr="00445013" w:rsidRDefault="009710A9" w:rsidP="0048597F">
      <w:pPr>
        <w:rPr>
          <w:rFonts w:cs="Times New Roman"/>
          <w:b/>
        </w:rPr>
      </w:pPr>
    </w:p>
    <w:p w:rsidR="00445013" w:rsidRDefault="0080080F" w:rsidP="0048597F">
      <w:pPr>
        <w:rPr>
          <w:rFonts w:cs="Times New Roman"/>
          <w:b/>
        </w:rPr>
      </w:pPr>
      <w:r w:rsidRPr="00445013">
        <w:rPr>
          <w:rFonts w:cs="Times New Roman"/>
          <w:b/>
        </w:rPr>
        <w:t>Начальник</w:t>
      </w:r>
    </w:p>
    <w:p w:rsidR="0080080F" w:rsidRPr="00445013" w:rsidRDefault="0080080F" w:rsidP="0048597F">
      <w:pPr>
        <w:rPr>
          <w:rFonts w:cs="Times New Roman"/>
          <w:b/>
        </w:rPr>
      </w:pPr>
      <w:r w:rsidRPr="00445013">
        <w:rPr>
          <w:rFonts w:cs="Times New Roman"/>
          <w:b/>
        </w:rPr>
        <w:t>отдела по государственным закупкам</w:t>
      </w:r>
      <w:r w:rsidRPr="00445013">
        <w:rPr>
          <w:rFonts w:cs="Times New Roman"/>
          <w:b/>
        </w:rPr>
        <w:tab/>
      </w:r>
      <w:r w:rsidR="00445013">
        <w:rPr>
          <w:rFonts w:cs="Times New Roman"/>
          <w:b/>
        </w:rPr>
        <w:tab/>
      </w:r>
      <w:r w:rsidRPr="00445013">
        <w:rPr>
          <w:rFonts w:cs="Times New Roman"/>
          <w:b/>
        </w:rPr>
        <w:tab/>
      </w:r>
      <w:r w:rsidRPr="00445013">
        <w:rPr>
          <w:rFonts w:cs="Times New Roman"/>
          <w:b/>
        </w:rPr>
        <w:tab/>
      </w:r>
      <w:proofErr w:type="spellStart"/>
      <w:r w:rsidRPr="00445013">
        <w:rPr>
          <w:rFonts w:cs="Times New Roman"/>
          <w:b/>
        </w:rPr>
        <w:t>Мукажанова</w:t>
      </w:r>
      <w:proofErr w:type="spellEnd"/>
      <w:r w:rsidRPr="00445013">
        <w:rPr>
          <w:rFonts w:cs="Times New Roman"/>
          <w:b/>
        </w:rPr>
        <w:t xml:space="preserve"> Н.М.</w:t>
      </w:r>
    </w:p>
    <w:p w:rsidR="0080080F" w:rsidRPr="00445013" w:rsidRDefault="00445013" w:rsidP="0048597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C62BA3" w:rsidRDefault="00C62BA3" w:rsidP="0048597F">
      <w:pPr>
        <w:rPr>
          <w:rFonts w:cs="Times New Roman"/>
          <w:i/>
          <w:sz w:val="22"/>
          <w:szCs w:val="22"/>
          <w:lang w:val="kk-KZ"/>
        </w:rPr>
      </w:pPr>
    </w:p>
    <w:p w:rsidR="00301B5D" w:rsidRPr="00301B5D" w:rsidRDefault="00301B5D" w:rsidP="0048597F">
      <w:pPr>
        <w:rPr>
          <w:rFonts w:cs="Times New Roman"/>
          <w:i/>
          <w:sz w:val="22"/>
          <w:szCs w:val="22"/>
          <w:lang w:val="kk-KZ"/>
        </w:rPr>
      </w:pPr>
      <w:bookmarkStart w:id="2" w:name="_GoBack"/>
      <w:bookmarkEnd w:id="2"/>
    </w:p>
    <w:p w:rsidR="0080080F" w:rsidRPr="00445013" w:rsidRDefault="001811AD" w:rsidP="0048597F">
      <w:pPr>
        <w:rPr>
          <w:rFonts w:cs="Times New Roman"/>
          <w:sz w:val="20"/>
          <w:szCs w:val="20"/>
        </w:rPr>
      </w:pPr>
      <w:r w:rsidRPr="00445013">
        <w:rPr>
          <w:rFonts w:cs="Times New Roman"/>
          <w:i/>
          <w:sz w:val="20"/>
          <w:szCs w:val="20"/>
        </w:rPr>
        <w:t>Исп</w:t>
      </w:r>
      <w:r w:rsidR="003469CF" w:rsidRPr="00445013">
        <w:rPr>
          <w:rFonts w:cs="Times New Roman"/>
          <w:i/>
          <w:sz w:val="20"/>
          <w:szCs w:val="20"/>
        </w:rPr>
        <w:t>.</w:t>
      </w:r>
      <w:r w:rsidR="00694C51" w:rsidRPr="00445013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445013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445013">
        <w:rPr>
          <w:rFonts w:cs="Times New Roman"/>
          <w:i/>
          <w:sz w:val="20"/>
          <w:szCs w:val="20"/>
        </w:rPr>
        <w:t xml:space="preserve"> К.</w:t>
      </w:r>
    </w:p>
    <w:p w:rsidR="0086053E" w:rsidRPr="00445013" w:rsidRDefault="0080080F" w:rsidP="0048597F">
      <w:pPr>
        <w:rPr>
          <w:rFonts w:cs="Times New Roman"/>
          <w:sz w:val="20"/>
          <w:szCs w:val="20"/>
        </w:rPr>
      </w:pPr>
      <w:r w:rsidRPr="00445013">
        <w:rPr>
          <w:rFonts w:cs="Times New Roman"/>
          <w:i/>
          <w:sz w:val="20"/>
          <w:szCs w:val="20"/>
        </w:rPr>
        <w:t>8-727-278-04-44</w:t>
      </w:r>
    </w:p>
    <w:sectPr w:rsidR="0086053E" w:rsidRPr="00445013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56832"/>
    <w:rsid w:val="0009393C"/>
    <w:rsid w:val="000A1533"/>
    <w:rsid w:val="000A27B1"/>
    <w:rsid w:val="000A4E11"/>
    <w:rsid w:val="000D1B46"/>
    <w:rsid w:val="000D2585"/>
    <w:rsid w:val="000E770C"/>
    <w:rsid w:val="000F573C"/>
    <w:rsid w:val="00111DA7"/>
    <w:rsid w:val="00124D58"/>
    <w:rsid w:val="00125CFE"/>
    <w:rsid w:val="00166458"/>
    <w:rsid w:val="00172BC0"/>
    <w:rsid w:val="001765DD"/>
    <w:rsid w:val="001811AD"/>
    <w:rsid w:val="00192B85"/>
    <w:rsid w:val="00194E07"/>
    <w:rsid w:val="001A4CE2"/>
    <w:rsid w:val="001B489C"/>
    <w:rsid w:val="001B768D"/>
    <w:rsid w:val="001E7B7D"/>
    <w:rsid w:val="001F24FA"/>
    <w:rsid w:val="00207730"/>
    <w:rsid w:val="00211EE7"/>
    <w:rsid w:val="00232F07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45013"/>
    <w:rsid w:val="00451346"/>
    <w:rsid w:val="004610F5"/>
    <w:rsid w:val="00465DCA"/>
    <w:rsid w:val="00477377"/>
    <w:rsid w:val="0048407F"/>
    <w:rsid w:val="0048597F"/>
    <w:rsid w:val="004A27C1"/>
    <w:rsid w:val="004D03BF"/>
    <w:rsid w:val="004E4A3A"/>
    <w:rsid w:val="005443E2"/>
    <w:rsid w:val="00562323"/>
    <w:rsid w:val="0058073F"/>
    <w:rsid w:val="005973CB"/>
    <w:rsid w:val="005A3BA9"/>
    <w:rsid w:val="005F237D"/>
    <w:rsid w:val="00651F5D"/>
    <w:rsid w:val="00653A61"/>
    <w:rsid w:val="00666AAF"/>
    <w:rsid w:val="00685AF2"/>
    <w:rsid w:val="00694C51"/>
    <w:rsid w:val="006B7388"/>
    <w:rsid w:val="006F0BB2"/>
    <w:rsid w:val="00701661"/>
    <w:rsid w:val="007043A3"/>
    <w:rsid w:val="00721326"/>
    <w:rsid w:val="007223B9"/>
    <w:rsid w:val="00726042"/>
    <w:rsid w:val="00737B3F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D65C8"/>
    <w:rsid w:val="0090711C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4260"/>
    <w:rsid w:val="009F6A07"/>
    <w:rsid w:val="00A10B87"/>
    <w:rsid w:val="00A10E7C"/>
    <w:rsid w:val="00A144EC"/>
    <w:rsid w:val="00A22D44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F2A72"/>
    <w:rsid w:val="00C331C4"/>
    <w:rsid w:val="00C352D3"/>
    <w:rsid w:val="00C54F8E"/>
    <w:rsid w:val="00C554E1"/>
    <w:rsid w:val="00C62BA3"/>
    <w:rsid w:val="00C81528"/>
    <w:rsid w:val="00C9554B"/>
    <w:rsid w:val="00CA25CE"/>
    <w:rsid w:val="00CB6A1F"/>
    <w:rsid w:val="00CC269A"/>
    <w:rsid w:val="00CD1603"/>
    <w:rsid w:val="00CD1C30"/>
    <w:rsid w:val="00D02C77"/>
    <w:rsid w:val="00D02D36"/>
    <w:rsid w:val="00D041CB"/>
    <w:rsid w:val="00D076A3"/>
    <w:rsid w:val="00D1690C"/>
    <w:rsid w:val="00D262CA"/>
    <w:rsid w:val="00D41CE0"/>
    <w:rsid w:val="00D53757"/>
    <w:rsid w:val="00D62F31"/>
    <w:rsid w:val="00D757F8"/>
    <w:rsid w:val="00D9500F"/>
    <w:rsid w:val="00DA0726"/>
    <w:rsid w:val="00DA217E"/>
    <w:rsid w:val="00DA785A"/>
    <w:rsid w:val="00DC09CA"/>
    <w:rsid w:val="00DC56C3"/>
    <w:rsid w:val="00E11270"/>
    <w:rsid w:val="00E20FFC"/>
    <w:rsid w:val="00E240B7"/>
    <w:rsid w:val="00E3492F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/online.zakon.kz/Document/?link_id=10040040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4653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D80DD-5BA7-4DD9-977D-B8AE32B2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1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113</cp:revision>
  <cp:lastPrinted>2021-06-14T05:35:00Z</cp:lastPrinted>
  <dcterms:created xsi:type="dcterms:W3CDTF">2019-01-15T05:22:00Z</dcterms:created>
  <dcterms:modified xsi:type="dcterms:W3CDTF">2021-06-14T05:36:00Z</dcterms:modified>
</cp:coreProperties>
</file>