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A46793">
        <w:rPr>
          <w:rFonts w:cs="Times New Roman"/>
          <w:lang w:val="kk-KZ"/>
        </w:rPr>
        <w:t>1</w:t>
      </w:r>
      <w:r w:rsidR="007B4953">
        <w:rPr>
          <w:rFonts w:cs="Times New Roman"/>
          <w:lang w:val="kk-KZ"/>
        </w:rPr>
        <w:t>7</w:t>
      </w:r>
      <w:r w:rsidRPr="0032207B">
        <w:rPr>
          <w:rFonts w:cs="Times New Roman"/>
        </w:rPr>
        <w:t xml:space="preserve">» </w:t>
      </w:r>
      <w:r w:rsidR="00434794">
        <w:rPr>
          <w:rFonts w:cs="Times New Roman"/>
          <w:lang w:val="kk-KZ"/>
        </w:rPr>
        <w:t>сентября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861"/>
        <w:gridCol w:w="992"/>
        <w:gridCol w:w="821"/>
        <w:gridCol w:w="1447"/>
        <w:gridCol w:w="1418"/>
      </w:tblGrid>
      <w:tr w:rsidR="00BF2A72" w:rsidRPr="00434794" w:rsidTr="008D6B6F">
        <w:trPr>
          <w:trHeight w:val="570"/>
        </w:trPr>
        <w:tc>
          <w:tcPr>
            <w:tcW w:w="668" w:type="dxa"/>
            <w:shd w:val="clear" w:color="000000" w:fill="FFFFFF"/>
            <w:noWrap/>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w:t>
            </w:r>
          </w:p>
          <w:p w:rsidR="00BF2A72" w:rsidRPr="00434794" w:rsidRDefault="00BF2A72" w:rsidP="00434794">
            <w:pPr>
              <w:jc w:val="center"/>
              <w:rPr>
                <w:rFonts w:cs="Times New Roman"/>
                <w:b/>
                <w:sz w:val="22"/>
                <w:szCs w:val="22"/>
              </w:rPr>
            </w:pPr>
            <w:r w:rsidRPr="00434794">
              <w:rPr>
                <w:rFonts w:cs="Times New Roman"/>
                <w:b/>
                <w:sz w:val="22"/>
                <w:szCs w:val="22"/>
              </w:rPr>
              <w:t>лота</w:t>
            </w:r>
          </w:p>
        </w:tc>
        <w:tc>
          <w:tcPr>
            <w:tcW w:w="4861"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Наименование</w:t>
            </w:r>
          </w:p>
        </w:tc>
        <w:tc>
          <w:tcPr>
            <w:tcW w:w="992"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Ед. измерения</w:t>
            </w:r>
          </w:p>
        </w:tc>
        <w:tc>
          <w:tcPr>
            <w:tcW w:w="821"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Кол-во</w:t>
            </w:r>
          </w:p>
        </w:tc>
        <w:tc>
          <w:tcPr>
            <w:tcW w:w="1447"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Цена за единицу по лоту</w:t>
            </w:r>
          </w:p>
        </w:tc>
        <w:tc>
          <w:tcPr>
            <w:tcW w:w="1418" w:type="dxa"/>
            <w:shd w:val="clear" w:color="000000" w:fill="FFFFFF"/>
            <w:vAlign w:val="center"/>
            <w:hideMark/>
          </w:tcPr>
          <w:p w:rsidR="00BF2A72" w:rsidRPr="00434794" w:rsidRDefault="00BF2A72" w:rsidP="00434794">
            <w:pPr>
              <w:jc w:val="center"/>
              <w:rPr>
                <w:rFonts w:cs="Times New Roman"/>
                <w:b/>
                <w:sz w:val="22"/>
                <w:szCs w:val="22"/>
              </w:rPr>
            </w:pPr>
            <w:r w:rsidRPr="00434794">
              <w:rPr>
                <w:rFonts w:cs="Times New Roman"/>
                <w:b/>
                <w:sz w:val="22"/>
                <w:szCs w:val="22"/>
              </w:rPr>
              <w:t>Выделенная сумма</w:t>
            </w:r>
          </w:p>
        </w:tc>
      </w:tr>
      <w:tr w:rsidR="00690753" w:rsidRPr="00434794" w:rsidTr="008D6B6F">
        <w:trPr>
          <w:trHeight w:val="477"/>
        </w:trPr>
        <w:tc>
          <w:tcPr>
            <w:tcW w:w="668" w:type="dxa"/>
            <w:shd w:val="clear" w:color="000000" w:fill="FFFFFF"/>
            <w:noWrap/>
            <w:vAlign w:val="center"/>
          </w:tcPr>
          <w:p w:rsidR="00690753" w:rsidRPr="008D6B6F" w:rsidRDefault="00690753" w:rsidP="00434794">
            <w:pPr>
              <w:jc w:val="center"/>
              <w:rPr>
                <w:rFonts w:cs="Times New Roman"/>
                <w:sz w:val="22"/>
                <w:szCs w:val="22"/>
              </w:rPr>
            </w:pPr>
            <w:r w:rsidRPr="008D6B6F">
              <w:rPr>
                <w:rFonts w:cs="Times New Roman"/>
                <w:sz w:val="22"/>
                <w:szCs w:val="22"/>
              </w:rPr>
              <w:t>1</w:t>
            </w:r>
          </w:p>
        </w:tc>
        <w:tc>
          <w:tcPr>
            <w:tcW w:w="4861" w:type="dxa"/>
            <w:shd w:val="clear" w:color="000000" w:fill="FFFFFF"/>
            <w:vAlign w:val="center"/>
          </w:tcPr>
          <w:p w:rsidR="00690753" w:rsidRPr="00A46793" w:rsidRDefault="00A46793" w:rsidP="00A46793">
            <w:pPr>
              <w:jc w:val="center"/>
              <w:rPr>
                <w:rFonts w:cs="Times New Roman"/>
                <w:sz w:val="22"/>
                <w:szCs w:val="22"/>
              </w:rPr>
            </w:pPr>
            <w:r>
              <w:rPr>
                <w:rFonts w:cs="Times New Roman"/>
                <w:sz w:val="22"/>
                <w:szCs w:val="22"/>
                <w:lang w:val="kk-KZ"/>
              </w:rPr>
              <w:t>Бенциклан</w:t>
            </w:r>
            <w:r>
              <w:rPr>
                <w:rFonts w:cs="Times New Roman"/>
                <w:sz w:val="22"/>
                <w:szCs w:val="22"/>
              </w:rPr>
              <w:t xml:space="preserve"> раствор для инъекций 25 мг/мл 2,0 мл</w:t>
            </w:r>
          </w:p>
        </w:tc>
        <w:tc>
          <w:tcPr>
            <w:tcW w:w="992" w:type="dxa"/>
            <w:shd w:val="clear" w:color="000000" w:fill="FFFFFF"/>
            <w:noWrap/>
            <w:vAlign w:val="center"/>
          </w:tcPr>
          <w:p w:rsidR="00690753" w:rsidRPr="00A46793" w:rsidRDefault="00A46793" w:rsidP="00434794">
            <w:pPr>
              <w:jc w:val="center"/>
              <w:rPr>
                <w:rFonts w:cs="Times New Roman"/>
                <w:sz w:val="22"/>
                <w:szCs w:val="22"/>
              </w:rPr>
            </w:pPr>
            <w:r>
              <w:rPr>
                <w:rFonts w:cs="Times New Roman"/>
                <w:sz w:val="22"/>
                <w:szCs w:val="22"/>
              </w:rPr>
              <w:t>ампула</w:t>
            </w:r>
          </w:p>
        </w:tc>
        <w:tc>
          <w:tcPr>
            <w:tcW w:w="821" w:type="dxa"/>
            <w:shd w:val="clear" w:color="000000" w:fill="FFFFFF"/>
            <w:vAlign w:val="center"/>
          </w:tcPr>
          <w:p w:rsidR="00690753" w:rsidRPr="008D6B6F" w:rsidRDefault="00A46793" w:rsidP="00434794">
            <w:pPr>
              <w:jc w:val="center"/>
              <w:rPr>
                <w:rFonts w:cs="Times New Roman"/>
                <w:sz w:val="22"/>
                <w:szCs w:val="22"/>
                <w:lang w:val="kk-KZ"/>
              </w:rPr>
            </w:pPr>
            <w:r>
              <w:rPr>
                <w:rFonts w:cs="Times New Roman"/>
                <w:sz w:val="22"/>
                <w:szCs w:val="22"/>
                <w:lang w:val="kk-KZ"/>
              </w:rPr>
              <w:t>1000</w:t>
            </w:r>
          </w:p>
        </w:tc>
        <w:tc>
          <w:tcPr>
            <w:tcW w:w="1447" w:type="dxa"/>
            <w:shd w:val="clear" w:color="000000" w:fill="FFFFFF"/>
            <w:noWrap/>
            <w:vAlign w:val="center"/>
          </w:tcPr>
          <w:p w:rsidR="00690753" w:rsidRPr="008D6B6F" w:rsidRDefault="00A46793" w:rsidP="00690753">
            <w:pPr>
              <w:jc w:val="center"/>
              <w:rPr>
                <w:sz w:val="22"/>
                <w:szCs w:val="22"/>
                <w:lang w:val="kk-KZ"/>
              </w:rPr>
            </w:pPr>
            <w:r>
              <w:rPr>
                <w:sz w:val="22"/>
                <w:szCs w:val="22"/>
                <w:lang w:val="kk-KZ"/>
              </w:rPr>
              <w:t>291,04</w:t>
            </w:r>
          </w:p>
        </w:tc>
        <w:tc>
          <w:tcPr>
            <w:tcW w:w="1418" w:type="dxa"/>
            <w:shd w:val="clear" w:color="000000" w:fill="FFFFFF"/>
            <w:noWrap/>
            <w:vAlign w:val="center"/>
          </w:tcPr>
          <w:p w:rsidR="00690753" w:rsidRPr="008D6B6F" w:rsidRDefault="00A46793" w:rsidP="00690753">
            <w:pPr>
              <w:jc w:val="center"/>
              <w:rPr>
                <w:sz w:val="22"/>
                <w:szCs w:val="22"/>
                <w:lang w:val="kk-KZ"/>
              </w:rPr>
            </w:pPr>
            <w:r>
              <w:rPr>
                <w:sz w:val="22"/>
                <w:szCs w:val="22"/>
                <w:lang w:val="kk-KZ"/>
              </w:rPr>
              <w:t>291 040,00</w:t>
            </w:r>
          </w:p>
        </w:tc>
      </w:tr>
      <w:tr w:rsidR="00020133" w:rsidRPr="00434794" w:rsidTr="008D6B6F">
        <w:trPr>
          <w:trHeight w:val="274"/>
        </w:trPr>
        <w:tc>
          <w:tcPr>
            <w:tcW w:w="668" w:type="dxa"/>
            <w:shd w:val="clear" w:color="000000" w:fill="FFFFFF"/>
            <w:noWrap/>
            <w:vAlign w:val="center"/>
          </w:tcPr>
          <w:p w:rsidR="00020133" w:rsidRPr="008D6B6F" w:rsidRDefault="00020133" w:rsidP="00434794">
            <w:pPr>
              <w:jc w:val="center"/>
              <w:rPr>
                <w:rFonts w:cs="Times New Roman"/>
                <w:sz w:val="22"/>
                <w:szCs w:val="22"/>
                <w:lang w:val="kk-KZ"/>
              </w:rPr>
            </w:pPr>
            <w:r w:rsidRPr="008D6B6F">
              <w:rPr>
                <w:rFonts w:cs="Times New Roman"/>
                <w:sz w:val="22"/>
                <w:szCs w:val="22"/>
                <w:lang w:val="kk-KZ"/>
              </w:rPr>
              <w:t>2</w:t>
            </w:r>
          </w:p>
        </w:tc>
        <w:tc>
          <w:tcPr>
            <w:tcW w:w="4861" w:type="dxa"/>
            <w:shd w:val="clear" w:color="000000" w:fill="FFFFFF"/>
            <w:vAlign w:val="center"/>
          </w:tcPr>
          <w:p w:rsidR="00020133" w:rsidRPr="008D6B6F" w:rsidRDefault="00A46793" w:rsidP="008D6B6F">
            <w:pPr>
              <w:jc w:val="center"/>
              <w:rPr>
                <w:rFonts w:cs="Times New Roman"/>
                <w:color w:val="000000"/>
                <w:sz w:val="22"/>
                <w:szCs w:val="22"/>
              </w:rPr>
            </w:pPr>
            <w:proofErr w:type="spellStart"/>
            <w:r>
              <w:rPr>
                <w:rFonts w:cs="Times New Roman"/>
                <w:color w:val="000000"/>
                <w:sz w:val="22"/>
                <w:szCs w:val="22"/>
              </w:rPr>
              <w:t>Дифенгидрамин</w:t>
            </w:r>
            <w:proofErr w:type="spellEnd"/>
            <w:r>
              <w:rPr>
                <w:rFonts w:cs="Times New Roman"/>
                <w:color w:val="000000"/>
                <w:sz w:val="22"/>
                <w:szCs w:val="22"/>
              </w:rPr>
              <w:t xml:space="preserve"> раствор для инъекций 1 % 1,0 мл</w:t>
            </w:r>
          </w:p>
        </w:tc>
        <w:tc>
          <w:tcPr>
            <w:tcW w:w="992" w:type="dxa"/>
            <w:shd w:val="clear" w:color="000000" w:fill="FFFFFF"/>
            <w:noWrap/>
            <w:vAlign w:val="center"/>
          </w:tcPr>
          <w:p w:rsidR="00020133" w:rsidRPr="008D6B6F" w:rsidRDefault="00A46793" w:rsidP="00434794">
            <w:pPr>
              <w:jc w:val="center"/>
              <w:rPr>
                <w:rFonts w:cs="Times New Roman"/>
                <w:sz w:val="22"/>
                <w:szCs w:val="22"/>
                <w:lang w:val="kk-KZ"/>
              </w:rPr>
            </w:pPr>
            <w:r>
              <w:rPr>
                <w:rFonts w:cs="Times New Roman"/>
                <w:sz w:val="22"/>
                <w:szCs w:val="22"/>
                <w:lang w:val="kk-KZ"/>
              </w:rPr>
              <w:t>ампула</w:t>
            </w:r>
          </w:p>
        </w:tc>
        <w:tc>
          <w:tcPr>
            <w:tcW w:w="821" w:type="dxa"/>
            <w:shd w:val="clear" w:color="000000" w:fill="FFFFFF"/>
            <w:vAlign w:val="center"/>
          </w:tcPr>
          <w:p w:rsidR="00020133" w:rsidRPr="008D6B6F" w:rsidRDefault="00A46793" w:rsidP="00434794">
            <w:pPr>
              <w:jc w:val="center"/>
              <w:rPr>
                <w:rFonts w:cs="Times New Roman"/>
                <w:sz w:val="22"/>
                <w:szCs w:val="22"/>
                <w:lang w:val="kk-KZ"/>
              </w:rPr>
            </w:pPr>
            <w:r>
              <w:rPr>
                <w:rFonts w:cs="Times New Roman"/>
                <w:sz w:val="22"/>
                <w:szCs w:val="22"/>
                <w:lang w:val="kk-KZ"/>
              </w:rPr>
              <w:t>1000</w:t>
            </w:r>
          </w:p>
        </w:tc>
        <w:tc>
          <w:tcPr>
            <w:tcW w:w="1447" w:type="dxa"/>
            <w:shd w:val="clear" w:color="000000" w:fill="FFFFFF"/>
            <w:noWrap/>
            <w:vAlign w:val="center"/>
          </w:tcPr>
          <w:p w:rsidR="00020133" w:rsidRPr="008D6B6F" w:rsidRDefault="00A46793" w:rsidP="00690753">
            <w:pPr>
              <w:jc w:val="center"/>
              <w:rPr>
                <w:sz w:val="22"/>
                <w:szCs w:val="22"/>
                <w:lang w:val="kk-KZ"/>
              </w:rPr>
            </w:pPr>
            <w:r>
              <w:rPr>
                <w:sz w:val="22"/>
                <w:szCs w:val="22"/>
                <w:lang w:val="kk-KZ"/>
              </w:rPr>
              <w:t>28,88</w:t>
            </w:r>
          </w:p>
        </w:tc>
        <w:tc>
          <w:tcPr>
            <w:tcW w:w="1418" w:type="dxa"/>
            <w:shd w:val="clear" w:color="000000" w:fill="FFFFFF"/>
            <w:noWrap/>
            <w:vAlign w:val="center"/>
          </w:tcPr>
          <w:p w:rsidR="00020133" w:rsidRPr="008D6B6F" w:rsidRDefault="00A46793" w:rsidP="00A46793">
            <w:pPr>
              <w:jc w:val="center"/>
              <w:rPr>
                <w:sz w:val="22"/>
                <w:szCs w:val="22"/>
                <w:lang w:val="kk-KZ"/>
              </w:rPr>
            </w:pPr>
            <w:r>
              <w:rPr>
                <w:sz w:val="22"/>
                <w:szCs w:val="22"/>
                <w:lang w:val="kk-KZ"/>
              </w:rPr>
              <w:t>28 880,00</w:t>
            </w:r>
          </w:p>
        </w:tc>
      </w:tr>
      <w:tr w:rsidR="00020133" w:rsidRPr="00434794" w:rsidTr="008D6B6F">
        <w:trPr>
          <w:trHeight w:val="477"/>
        </w:trPr>
        <w:tc>
          <w:tcPr>
            <w:tcW w:w="668" w:type="dxa"/>
            <w:shd w:val="clear" w:color="000000" w:fill="FFFFFF"/>
            <w:noWrap/>
            <w:vAlign w:val="center"/>
          </w:tcPr>
          <w:p w:rsidR="00020133" w:rsidRPr="008D6B6F" w:rsidRDefault="00020133" w:rsidP="00434794">
            <w:pPr>
              <w:jc w:val="center"/>
              <w:rPr>
                <w:rFonts w:cs="Times New Roman"/>
                <w:sz w:val="22"/>
                <w:szCs w:val="22"/>
                <w:lang w:val="kk-KZ"/>
              </w:rPr>
            </w:pPr>
            <w:r w:rsidRPr="008D6B6F">
              <w:rPr>
                <w:rFonts w:cs="Times New Roman"/>
                <w:sz w:val="22"/>
                <w:szCs w:val="22"/>
                <w:lang w:val="kk-KZ"/>
              </w:rPr>
              <w:t>3</w:t>
            </w:r>
          </w:p>
        </w:tc>
        <w:tc>
          <w:tcPr>
            <w:tcW w:w="4861" w:type="dxa"/>
            <w:shd w:val="clear" w:color="000000" w:fill="FFFFFF"/>
            <w:vAlign w:val="center"/>
          </w:tcPr>
          <w:p w:rsidR="00020133" w:rsidRPr="008D6B6F" w:rsidRDefault="00A46793" w:rsidP="00434794">
            <w:pPr>
              <w:jc w:val="center"/>
              <w:rPr>
                <w:rFonts w:cs="Times New Roman"/>
                <w:sz w:val="22"/>
                <w:szCs w:val="22"/>
              </w:rPr>
            </w:pPr>
            <w:r>
              <w:rPr>
                <w:rFonts w:cs="Times New Roman"/>
                <w:sz w:val="22"/>
                <w:szCs w:val="22"/>
              </w:rPr>
              <w:t>Атропина сульфат раствор для инъекций 1 мг/ мл</w:t>
            </w:r>
          </w:p>
        </w:tc>
        <w:tc>
          <w:tcPr>
            <w:tcW w:w="992" w:type="dxa"/>
            <w:shd w:val="clear" w:color="000000" w:fill="FFFFFF"/>
            <w:noWrap/>
            <w:vAlign w:val="center"/>
          </w:tcPr>
          <w:p w:rsidR="00020133" w:rsidRPr="008D6B6F" w:rsidRDefault="00A46793" w:rsidP="00434794">
            <w:pPr>
              <w:jc w:val="center"/>
              <w:rPr>
                <w:rFonts w:cs="Times New Roman"/>
                <w:sz w:val="22"/>
                <w:szCs w:val="22"/>
                <w:lang w:val="kk-KZ"/>
              </w:rPr>
            </w:pPr>
            <w:r>
              <w:rPr>
                <w:rFonts w:cs="Times New Roman"/>
                <w:sz w:val="22"/>
                <w:szCs w:val="22"/>
                <w:lang w:val="kk-KZ"/>
              </w:rPr>
              <w:t>ампула</w:t>
            </w:r>
          </w:p>
        </w:tc>
        <w:tc>
          <w:tcPr>
            <w:tcW w:w="821" w:type="dxa"/>
            <w:shd w:val="clear" w:color="000000" w:fill="FFFFFF"/>
            <w:vAlign w:val="center"/>
          </w:tcPr>
          <w:p w:rsidR="00020133" w:rsidRPr="008D6B6F" w:rsidRDefault="00A46793" w:rsidP="00434794">
            <w:pPr>
              <w:jc w:val="center"/>
              <w:rPr>
                <w:rFonts w:cs="Times New Roman"/>
                <w:sz w:val="22"/>
                <w:szCs w:val="22"/>
                <w:lang w:val="kk-KZ"/>
              </w:rPr>
            </w:pPr>
            <w:r>
              <w:rPr>
                <w:rFonts w:cs="Times New Roman"/>
                <w:sz w:val="22"/>
                <w:szCs w:val="22"/>
                <w:lang w:val="kk-KZ"/>
              </w:rPr>
              <w:t>500</w:t>
            </w:r>
          </w:p>
        </w:tc>
        <w:tc>
          <w:tcPr>
            <w:tcW w:w="1447" w:type="dxa"/>
            <w:shd w:val="clear" w:color="000000" w:fill="FFFFFF"/>
            <w:noWrap/>
            <w:vAlign w:val="center"/>
          </w:tcPr>
          <w:p w:rsidR="00020133" w:rsidRPr="008D6B6F" w:rsidRDefault="00A46793" w:rsidP="00690753">
            <w:pPr>
              <w:jc w:val="center"/>
              <w:rPr>
                <w:sz w:val="22"/>
                <w:szCs w:val="22"/>
                <w:lang w:val="kk-KZ"/>
              </w:rPr>
            </w:pPr>
            <w:r>
              <w:rPr>
                <w:sz w:val="22"/>
                <w:szCs w:val="22"/>
                <w:lang w:val="kk-KZ"/>
              </w:rPr>
              <w:t>46,44</w:t>
            </w:r>
          </w:p>
        </w:tc>
        <w:tc>
          <w:tcPr>
            <w:tcW w:w="1418" w:type="dxa"/>
            <w:shd w:val="clear" w:color="000000" w:fill="FFFFFF"/>
            <w:noWrap/>
            <w:vAlign w:val="center"/>
          </w:tcPr>
          <w:p w:rsidR="00020133" w:rsidRPr="008D6B6F" w:rsidRDefault="00A46793" w:rsidP="00690753">
            <w:pPr>
              <w:jc w:val="center"/>
              <w:rPr>
                <w:sz w:val="22"/>
                <w:szCs w:val="22"/>
                <w:lang w:val="kk-KZ"/>
              </w:rPr>
            </w:pPr>
            <w:r>
              <w:rPr>
                <w:sz w:val="22"/>
                <w:szCs w:val="22"/>
                <w:lang w:val="kk-KZ"/>
              </w:rPr>
              <w:t>23 220,00</w:t>
            </w:r>
          </w:p>
        </w:tc>
      </w:tr>
      <w:tr w:rsidR="00A46793" w:rsidRPr="00434794" w:rsidTr="008D6B6F">
        <w:trPr>
          <w:trHeight w:val="477"/>
        </w:trPr>
        <w:tc>
          <w:tcPr>
            <w:tcW w:w="668" w:type="dxa"/>
            <w:shd w:val="clear" w:color="000000" w:fill="FFFFFF"/>
            <w:noWrap/>
            <w:vAlign w:val="center"/>
          </w:tcPr>
          <w:p w:rsidR="00A46793" w:rsidRPr="008D6B6F" w:rsidRDefault="00A46793" w:rsidP="00434794">
            <w:pPr>
              <w:jc w:val="center"/>
              <w:rPr>
                <w:rFonts w:cs="Times New Roman"/>
                <w:sz w:val="22"/>
                <w:szCs w:val="22"/>
                <w:lang w:val="kk-KZ"/>
              </w:rPr>
            </w:pPr>
            <w:r>
              <w:rPr>
                <w:rFonts w:cs="Times New Roman"/>
                <w:sz w:val="22"/>
                <w:szCs w:val="22"/>
                <w:lang w:val="kk-KZ"/>
              </w:rPr>
              <w:t>4</w:t>
            </w:r>
          </w:p>
        </w:tc>
        <w:tc>
          <w:tcPr>
            <w:tcW w:w="4861" w:type="dxa"/>
            <w:shd w:val="clear" w:color="000000" w:fill="FFFFFF"/>
            <w:vAlign w:val="center"/>
          </w:tcPr>
          <w:p w:rsidR="00A46793" w:rsidRPr="00A46793" w:rsidRDefault="00A46793" w:rsidP="00434794">
            <w:pPr>
              <w:jc w:val="center"/>
              <w:rPr>
                <w:rFonts w:cs="Times New Roman"/>
                <w:sz w:val="22"/>
                <w:szCs w:val="22"/>
              </w:rPr>
            </w:pPr>
            <w:r>
              <w:rPr>
                <w:rFonts w:cs="Times New Roman"/>
                <w:sz w:val="22"/>
                <w:szCs w:val="22"/>
              </w:rPr>
              <w:t xml:space="preserve">Железа </w:t>
            </w:r>
            <w:r>
              <w:rPr>
                <w:rFonts w:cs="Times New Roman"/>
                <w:sz w:val="22"/>
                <w:szCs w:val="22"/>
                <w:lang w:val="en-US"/>
              </w:rPr>
              <w:t>III</w:t>
            </w:r>
            <w:r>
              <w:rPr>
                <w:rFonts w:cs="Times New Roman"/>
                <w:sz w:val="22"/>
                <w:szCs w:val="22"/>
              </w:rPr>
              <w:t xml:space="preserve"> гидроксид сахарозный комплекс раствор для внутреннего введения 2 г/ 5 мл</w:t>
            </w:r>
          </w:p>
        </w:tc>
        <w:tc>
          <w:tcPr>
            <w:tcW w:w="992" w:type="dxa"/>
            <w:shd w:val="clear" w:color="000000" w:fill="FFFFFF"/>
            <w:noWrap/>
            <w:vAlign w:val="center"/>
          </w:tcPr>
          <w:p w:rsidR="00A46793" w:rsidRPr="008D6B6F" w:rsidRDefault="00A46793" w:rsidP="00434794">
            <w:pPr>
              <w:jc w:val="center"/>
              <w:rPr>
                <w:rFonts w:cs="Times New Roman"/>
                <w:sz w:val="22"/>
                <w:szCs w:val="22"/>
                <w:lang w:val="kk-KZ"/>
              </w:rPr>
            </w:pPr>
            <w:r>
              <w:rPr>
                <w:rFonts w:cs="Times New Roman"/>
                <w:sz w:val="22"/>
                <w:szCs w:val="22"/>
                <w:lang w:val="kk-KZ"/>
              </w:rPr>
              <w:t>ампула</w:t>
            </w:r>
          </w:p>
        </w:tc>
        <w:tc>
          <w:tcPr>
            <w:tcW w:w="821" w:type="dxa"/>
            <w:shd w:val="clear" w:color="000000" w:fill="FFFFFF"/>
            <w:vAlign w:val="center"/>
          </w:tcPr>
          <w:p w:rsidR="00A46793" w:rsidRPr="008D6B6F" w:rsidRDefault="00A46793" w:rsidP="00434794">
            <w:pPr>
              <w:jc w:val="center"/>
              <w:rPr>
                <w:rFonts w:cs="Times New Roman"/>
                <w:sz w:val="22"/>
                <w:szCs w:val="22"/>
                <w:lang w:val="kk-KZ"/>
              </w:rPr>
            </w:pPr>
            <w:r>
              <w:rPr>
                <w:rFonts w:cs="Times New Roman"/>
                <w:sz w:val="22"/>
                <w:szCs w:val="22"/>
                <w:lang w:val="kk-KZ"/>
              </w:rPr>
              <w:t>600</w:t>
            </w:r>
          </w:p>
        </w:tc>
        <w:tc>
          <w:tcPr>
            <w:tcW w:w="1447" w:type="dxa"/>
            <w:shd w:val="clear" w:color="000000" w:fill="FFFFFF"/>
            <w:noWrap/>
            <w:vAlign w:val="center"/>
          </w:tcPr>
          <w:p w:rsidR="00A46793" w:rsidRPr="008D6B6F" w:rsidRDefault="00A46793" w:rsidP="00690753">
            <w:pPr>
              <w:jc w:val="center"/>
              <w:rPr>
                <w:sz w:val="22"/>
                <w:szCs w:val="22"/>
                <w:lang w:val="kk-KZ"/>
              </w:rPr>
            </w:pPr>
            <w:r>
              <w:rPr>
                <w:sz w:val="22"/>
                <w:szCs w:val="22"/>
                <w:lang w:val="kk-KZ"/>
              </w:rPr>
              <w:t>1912,49</w:t>
            </w:r>
          </w:p>
        </w:tc>
        <w:tc>
          <w:tcPr>
            <w:tcW w:w="1418" w:type="dxa"/>
            <w:shd w:val="clear" w:color="000000" w:fill="FFFFFF"/>
            <w:noWrap/>
            <w:vAlign w:val="center"/>
          </w:tcPr>
          <w:p w:rsidR="00A46793" w:rsidRPr="008D6B6F" w:rsidRDefault="00A46793" w:rsidP="00E971B2">
            <w:pPr>
              <w:jc w:val="center"/>
              <w:rPr>
                <w:sz w:val="22"/>
                <w:szCs w:val="22"/>
                <w:lang w:val="kk-KZ"/>
              </w:rPr>
            </w:pPr>
            <w:r>
              <w:rPr>
                <w:sz w:val="22"/>
                <w:szCs w:val="22"/>
                <w:lang w:val="kk-KZ"/>
              </w:rPr>
              <w:t>1</w:t>
            </w:r>
            <w:r w:rsidR="00E971B2">
              <w:rPr>
                <w:sz w:val="22"/>
                <w:szCs w:val="22"/>
                <w:lang w:val="kk-KZ"/>
              </w:rPr>
              <w:t> </w:t>
            </w:r>
            <w:r>
              <w:rPr>
                <w:sz w:val="22"/>
                <w:szCs w:val="22"/>
                <w:lang w:val="kk-KZ"/>
              </w:rPr>
              <w:t>147</w:t>
            </w:r>
            <w:r w:rsidR="00E971B2">
              <w:rPr>
                <w:sz w:val="22"/>
                <w:szCs w:val="22"/>
                <w:lang w:val="kk-KZ"/>
              </w:rPr>
              <w:t> 494,00</w:t>
            </w:r>
          </w:p>
        </w:tc>
      </w:tr>
      <w:tr w:rsidR="00C03CED" w:rsidRPr="00434794" w:rsidTr="008D6B6F">
        <w:trPr>
          <w:trHeight w:val="477"/>
        </w:trPr>
        <w:tc>
          <w:tcPr>
            <w:tcW w:w="668" w:type="dxa"/>
            <w:shd w:val="clear" w:color="000000" w:fill="FFFFFF"/>
            <w:noWrap/>
            <w:vAlign w:val="center"/>
          </w:tcPr>
          <w:p w:rsidR="00C03CED" w:rsidRDefault="00C03CED" w:rsidP="00434794">
            <w:pPr>
              <w:jc w:val="center"/>
              <w:rPr>
                <w:rFonts w:cs="Times New Roman"/>
                <w:sz w:val="22"/>
                <w:szCs w:val="22"/>
                <w:lang w:val="kk-KZ"/>
              </w:rPr>
            </w:pPr>
            <w:r>
              <w:rPr>
                <w:rFonts w:cs="Times New Roman"/>
                <w:sz w:val="22"/>
                <w:szCs w:val="22"/>
                <w:lang w:val="kk-KZ"/>
              </w:rPr>
              <w:t>5</w:t>
            </w:r>
          </w:p>
        </w:tc>
        <w:tc>
          <w:tcPr>
            <w:tcW w:w="4861" w:type="dxa"/>
            <w:shd w:val="clear" w:color="000000" w:fill="FFFFFF"/>
            <w:vAlign w:val="center"/>
          </w:tcPr>
          <w:p w:rsidR="00C03CED" w:rsidRPr="00507D0D" w:rsidRDefault="00C03CED" w:rsidP="00434794">
            <w:pPr>
              <w:jc w:val="center"/>
              <w:rPr>
                <w:rFonts w:cs="Times New Roman"/>
                <w:sz w:val="22"/>
                <w:szCs w:val="22"/>
                <w:lang w:val="kk-KZ"/>
              </w:rPr>
            </w:pPr>
            <w:r w:rsidRPr="00507D0D">
              <w:rPr>
                <w:rFonts w:cs="Times New Roman"/>
                <w:color w:val="000000"/>
                <w:sz w:val="22"/>
                <w:szCs w:val="22"/>
              </w:rPr>
              <w:t>Раствор уксусной кислоты</w:t>
            </w:r>
            <w:r w:rsidRPr="00507D0D">
              <w:rPr>
                <w:rFonts w:cs="Times New Roman"/>
                <w:color w:val="000000"/>
                <w:sz w:val="22"/>
                <w:szCs w:val="22"/>
                <w:lang w:val="kk-KZ"/>
              </w:rPr>
              <w:t xml:space="preserve"> </w:t>
            </w:r>
            <w:r w:rsidRPr="00507D0D">
              <w:rPr>
                <w:rFonts w:cs="Times New Roman"/>
                <w:color w:val="000000"/>
                <w:sz w:val="22"/>
                <w:szCs w:val="22"/>
              </w:rPr>
              <w:t>1%-200,0</w:t>
            </w:r>
          </w:p>
        </w:tc>
        <w:tc>
          <w:tcPr>
            <w:tcW w:w="992" w:type="dxa"/>
            <w:shd w:val="clear" w:color="000000" w:fill="FFFFFF"/>
            <w:noWrap/>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флакон</w:t>
            </w:r>
          </w:p>
        </w:tc>
        <w:tc>
          <w:tcPr>
            <w:tcW w:w="821" w:type="dxa"/>
            <w:shd w:val="clear" w:color="000000" w:fill="FFFFFF"/>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100</w:t>
            </w:r>
          </w:p>
        </w:tc>
        <w:tc>
          <w:tcPr>
            <w:tcW w:w="1447" w:type="dxa"/>
            <w:shd w:val="clear" w:color="000000" w:fill="FFFFFF"/>
            <w:noWrap/>
            <w:vAlign w:val="center"/>
          </w:tcPr>
          <w:p w:rsidR="00C03CED" w:rsidRPr="00507D0D" w:rsidRDefault="00C03CED" w:rsidP="00690753">
            <w:pPr>
              <w:jc w:val="center"/>
              <w:rPr>
                <w:sz w:val="22"/>
                <w:szCs w:val="22"/>
                <w:lang w:val="kk-KZ"/>
              </w:rPr>
            </w:pPr>
            <w:r w:rsidRPr="00507D0D">
              <w:rPr>
                <w:sz w:val="22"/>
                <w:szCs w:val="22"/>
                <w:lang w:val="kk-KZ"/>
              </w:rPr>
              <w:t>239,00</w:t>
            </w:r>
          </w:p>
        </w:tc>
        <w:tc>
          <w:tcPr>
            <w:tcW w:w="1418" w:type="dxa"/>
            <w:shd w:val="clear" w:color="000000" w:fill="FFFFFF"/>
            <w:noWrap/>
            <w:vAlign w:val="center"/>
          </w:tcPr>
          <w:p w:rsidR="00C03CED" w:rsidRPr="00507D0D" w:rsidRDefault="00C03CED" w:rsidP="00E971B2">
            <w:pPr>
              <w:jc w:val="center"/>
              <w:rPr>
                <w:sz w:val="22"/>
                <w:szCs w:val="22"/>
                <w:lang w:val="kk-KZ"/>
              </w:rPr>
            </w:pPr>
            <w:r w:rsidRPr="00507D0D">
              <w:rPr>
                <w:sz w:val="22"/>
                <w:szCs w:val="22"/>
                <w:lang w:val="kk-KZ"/>
              </w:rPr>
              <w:t>23 900,00</w:t>
            </w:r>
          </w:p>
        </w:tc>
      </w:tr>
      <w:tr w:rsidR="00C03CED" w:rsidRPr="00434794" w:rsidTr="008D6B6F">
        <w:trPr>
          <w:trHeight w:val="477"/>
        </w:trPr>
        <w:tc>
          <w:tcPr>
            <w:tcW w:w="668" w:type="dxa"/>
            <w:shd w:val="clear" w:color="000000" w:fill="FFFFFF"/>
            <w:noWrap/>
            <w:vAlign w:val="center"/>
          </w:tcPr>
          <w:p w:rsidR="00C03CED" w:rsidRDefault="00C03CED" w:rsidP="00434794">
            <w:pPr>
              <w:jc w:val="center"/>
              <w:rPr>
                <w:rFonts w:cs="Times New Roman"/>
                <w:sz w:val="22"/>
                <w:szCs w:val="22"/>
                <w:lang w:val="kk-KZ"/>
              </w:rPr>
            </w:pPr>
            <w:r>
              <w:rPr>
                <w:rFonts w:cs="Times New Roman"/>
                <w:sz w:val="22"/>
                <w:szCs w:val="22"/>
                <w:lang w:val="kk-KZ"/>
              </w:rPr>
              <w:t>6</w:t>
            </w:r>
          </w:p>
        </w:tc>
        <w:tc>
          <w:tcPr>
            <w:tcW w:w="4861" w:type="dxa"/>
            <w:shd w:val="clear" w:color="000000" w:fill="FFFFFF"/>
            <w:vAlign w:val="center"/>
          </w:tcPr>
          <w:p w:rsidR="00C03CED" w:rsidRPr="00507D0D" w:rsidRDefault="00C03CED" w:rsidP="00434794">
            <w:pPr>
              <w:jc w:val="center"/>
              <w:rPr>
                <w:rFonts w:cs="Times New Roman"/>
                <w:sz w:val="22"/>
                <w:szCs w:val="22"/>
                <w:lang w:val="kk-KZ"/>
              </w:rPr>
            </w:pPr>
            <w:r w:rsidRPr="00507D0D">
              <w:rPr>
                <w:rFonts w:cs="Times New Roman"/>
                <w:color w:val="000000"/>
                <w:sz w:val="22"/>
                <w:szCs w:val="22"/>
              </w:rPr>
              <w:t xml:space="preserve">Вода очищенная. Для наружного применения 400,0 </w:t>
            </w:r>
            <w:proofErr w:type="gramStart"/>
            <w:r w:rsidRPr="00507D0D">
              <w:rPr>
                <w:rFonts w:cs="Times New Roman"/>
                <w:color w:val="000000"/>
                <w:sz w:val="22"/>
                <w:szCs w:val="22"/>
              </w:rPr>
              <w:t>стерильная</w:t>
            </w:r>
            <w:proofErr w:type="gramEnd"/>
          </w:p>
        </w:tc>
        <w:tc>
          <w:tcPr>
            <w:tcW w:w="992" w:type="dxa"/>
            <w:shd w:val="clear" w:color="000000" w:fill="FFFFFF"/>
            <w:noWrap/>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флакон</w:t>
            </w:r>
          </w:p>
        </w:tc>
        <w:tc>
          <w:tcPr>
            <w:tcW w:w="821" w:type="dxa"/>
            <w:shd w:val="clear" w:color="000000" w:fill="FFFFFF"/>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500</w:t>
            </w:r>
          </w:p>
        </w:tc>
        <w:tc>
          <w:tcPr>
            <w:tcW w:w="1447" w:type="dxa"/>
            <w:shd w:val="clear" w:color="000000" w:fill="FFFFFF"/>
            <w:noWrap/>
            <w:vAlign w:val="center"/>
          </w:tcPr>
          <w:p w:rsidR="00C03CED" w:rsidRPr="00507D0D" w:rsidRDefault="00C03CED" w:rsidP="00690753">
            <w:pPr>
              <w:jc w:val="center"/>
              <w:rPr>
                <w:sz w:val="22"/>
                <w:szCs w:val="22"/>
                <w:lang w:val="kk-KZ"/>
              </w:rPr>
            </w:pPr>
            <w:r w:rsidRPr="00507D0D">
              <w:rPr>
                <w:sz w:val="22"/>
                <w:szCs w:val="22"/>
                <w:lang w:val="kk-KZ"/>
              </w:rPr>
              <w:t>324,00</w:t>
            </w:r>
          </w:p>
        </w:tc>
        <w:tc>
          <w:tcPr>
            <w:tcW w:w="1418" w:type="dxa"/>
            <w:shd w:val="clear" w:color="000000" w:fill="FFFFFF"/>
            <w:noWrap/>
            <w:vAlign w:val="center"/>
          </w:tcPr>
          <w:p w:rsidR="00C03CED" w:rsidRPr="00507D0D" w:rsidRDefault="00C03CED" w:rsidP="00E971B2">
            <w:pPr>
              <w:jc w:val="center"/>
              <w:rPr>
                <w:sz w:val="22"/>
                <w:szCs w:val="22"/>
                <w:lang w:val="kk-KZ"/>
              </w:rPr>
            </w:pPr>
            <w:r w:rsidRPr="00507D0D">
              <w:rPr>
                <w:sz w:val="22"/>
                <w:szCs w:val="22"/>
                <w:lang w:val="kk-KZ"/>
              </w:rPr>
              <w:t>162 000,00</w:t>
            </w:r>
          </w:p>
        </w:tc>
      </w:tr>
      <w:tr w:rsidR="00C03CED" w:rsidRPr="00434794" w:rsidTr="008D6B6F">
        <w:trPr>
          <w:trHeight w:val="477"/>
        </w:trPr>
        <w:tc>
          <w:tcPr>
            <w:tcW w:w="668" w:type="dxa"/>
            <w:shd w:val="clear" w:color="000000" w:fill="FFFFFF"/>
            <w:noWrap/>
            <w:vAlign w:val="center"/>
          </w:tcPr>
          <w:p w:rsidR="00C03CED" w:rsidRDefault="00C03CED" w:rsidP="00434794">
            <w:pPr>
              <w:jc w:val="center"/>
              <w:rPr>
                <w:rFonts w:cs="Times New Roman"/>
                <w:sz w:val="22"/>
                <w:szCs w:val="22"/>
                <w:lang w:val="kk-KZ"/>
              </w:rPr>
            </w:pPr>
            <w:r>
              <w:rPr>
                <w:rFonts w:cs="Times New Roman"/>
                <w:sz w:val="22"/>
                <w:szCs w:val="22"/>
                <w:lang w:val="kk-KZ"/>
              </w:rPr>
              <w:t>7</w:t>
            </w:r>
          </w:p>
        </w:tc>
        <w:tc>
          <w:tcPr>
            <w:tcW w:w="4861" w:type="dxa"/>
            <w:shd w:val="clear" w:color="000000" w:fill="FFFFFF"/>
            <w:vAlign w:val="center"/>
          </w:tcPr>
          <w:p w:rsidR="00C03CED" w:rsidRPr="00507D0D" w:rsidRDefault="00C03CED" w:rsidP="00C03CED">
            <w:pPr>
              <w:jc w:val="center"/>
              <w:rPr>
                <w:rFonts w:cs="Times New Roman"/>
                <w:sz w:val="22"/>
                <w:szCs w:val="22"/>
              </w:rPr>
            </w:pPr>
            <w:r w:rsidRPr="00507D0D">
              <w:rPr>
                <w:rFonts w:cs="Times New Roman"/>
                <w:color w:val="000000"/>
                <w:sz w:val="22"/>
                <w:szCs w:val="22"/>
              </w:rPr>
              <w:t xml:space="preserve">Глюкоза раствор для </w:t>
            </w:r>
            <w:proofErr w:type="spellStart"/>
            <w:r w:rsidRPr="00507D0D">
              <w:rPr>
                <w:rFonts w:cs="Times New Roman"/>
                <w:color w:val="000000"/>
                <w:sz w:val="22"/>
                <w:szCs w:val="22"/>
              </w:rPr>
              <w:t>инфузий</w:t>
            </w:r>
            <w:proofErr w:type="spellEnd"/>
            <w:r w:rsidRPr="00507D0D">
              <w:rPr>
                <w:rFonts w:cs="Times New Roman"/>
                <w:color w:val="000000"/>
                <w:sz w:val="22"/>
                <w:szCs w:val="22"/>
              </w:rPr>
              <w:t xml:space="preserve"> 20 % 200 мл (во флакон емкостью 400,0) </w:t>
            </w:r>
          </w:p>
        </w:tc>
        <w:tc>
          <w:tcPr>
            <w:tcW w:w="992" w:type="dxa"/>
            <w:shd w:val="clear" w:color="000000" w:fill="FFFFFF"/>
            <w:noWrap/>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флакон</w:t>
            </w:r>
          </w:p>
        </w:tc>
        <w:tc>
          <w:tcPr>
            <w:tcW w:w="821" w:type="dxa"/>
            <w:shd w:val="clear" w:color="000000" w:fill="FFFFFF"/>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300</w:t>
            </w:r>
          </w:p>
        </w:tc>
        <w:tc>
          <w:tcPr>
            <w:tcW w:w="1447" w:type="dxa"/>
            <w:shd w:val="clear" w:color="000000" w:fill="FFFFFF"/>
            <w:noWrap/>
            <w:vAlign w:val="center"/>
          </w:tcPr>
          <w:p w:rsidR="00C03CED" w:rsidRPr="00507D0D" w:rsidRDefault="00C03CED" w:rsidP="00690753">
            <w:pPr>
              <w:jc w:val="center"/>
              <w:rPr>
                <w:sz w:val="22"/>
                <w:szCs w:val="22"/>
                <w:lang w:val="kk-KZ"/>
              </w:rPr>
            </w:pPr>
            <w:r w:rsidRPr="00507D0D">
              <w:rPr>
                <w:sz w:val="22"/>
                <w:szCs w:val="22"/>
                <w:lang w:val="kk-KZ"/>
              </w:rPr>
              <w:t>505,00</w:t>
            </w:r>
          </w:p>
        </w:tc>
        <w:tc>
          <w:tcPr>
            <w:tcW w:w="1418" w:type="dxa"/>
            <w:shd w:val="clear" w:color="000000" w:fill="FFFFFF"/>
            <w:noWrap/>
            <w:vAlign w:val="center"/>
          </w:tcPr>
          <w:p w:rsidR="00C03CED" w:rsidRPr="00507D0D" w:rsidRDefault="00C03CED" w:rsidP="00E971B2">
            <w:pPr>
              <w:jc w:val="center"/>
              <w:rPr>
                <w:sz w:val="22"/>
                <w:szCs w:val="22"/>
                <w:lang w:val="kk-KZ"/>
              </w:rPr>
            </w:pPr>
            <w:r w:rsidRPr="00507D0D">
              <w:rPr>
                <w:sz w:val="22"/>
                <w:szCs w:val="22"/>
                <w:lang w:val="kk-KZ"/>
              </w:rPr>
              <w:t>151 500,00</w:t>
            </w:r>
          </w:p>
        </w:tc>
      </w:tr>
      <w:tr w:rsidR="00C03CED" w:rsidRPr="00434794" w:rsidTr="008D6B6F">
        <w:trPr>
          <w:trHeight w:val="477"/>
        </w:trPr>
        <w:tc>
          <w:tcPr>
            <w:tcW w:w="668" w:type="dxa"/>
            <w:shd w:val="clear" w:color="000000" w:fill="FFFFFF"/>
            <w:noWrap/>
            <w:vAlign w:val="center"/>
          </w:tcPr>
          <w:p w:rsidR="00C03CED" w:rsidRDefault="00C03CED" w:rsidP="00434794">
            <w:pPr>
              <w:jc w:val="center"/>
              <w:rPr>
                <w:rFonts w:cs="Times New Roman"/>
                <w:sz w:val="22"/>
                <w:szCs w:val="22"/>
                <w:lang w:val="kk-KZ"/>
              </w:rPr>
            </w:pPr>
            <w:r>
              <w:rPr>
                <w:rFonts w:cs="Times New Roman"/>
                <w:sz w:val="22"/>
                <w:szCs w:val="22"/>
                <w:lang w:val="kk-KZ"/>
              </w:rPr>
              <w:t>8</w:t>
            </w:r>
          </w:p>
        </w:tc>
        <w:tc>
          <w:tcPr>
            <w:tcW w:w="4861" w:type="dxa"/>
            <w:shd w:val="clear" w:color="000000" w:fill="FFFFFF"/>
            <w:vAlign w:val="center"/>
          </w:tcPr>
          <w:p w:rsidR="00C03CED" w:rsidRPr="00507D0D" w:rsidRDefault="00C03CED" w:rsidP="00434794">
            <w:pPr>
              <w:jc w:val="center"/>
              <w:rPr>
                <w:rFonts w:cs="Times New Roman"/>
                <w:sz w:val="22"/>
                <w:szCs w:val="22"/>
              </w:rPr>
            </w:pPr>
            <w:r w:rsidRPr="00507D0D">
              <w:rPr>
                <w:rFonts w:cs="Times New Roman"/>
                <w:color w:val="000000"/>
                <w:sz w:val="22"/>
                <w:szCs w:val="22"/>
              </w:rPr>
              <w:t xml:space="preserve">Раствор калия хлорида раствор для </w:t>
            </w:r>
            <w:proofErr w:type="spellStart"/>
            <w:r w:rsidRPr="00507D0D">
              <w:rPr>
                <w:rFonts w:cs="Times New Roman"/>
                <w:color w:val="000000"/>
                <w:sz w:val="22"/>
                <w:szCs w:val="22"/>
              </w:rPr>
              <w:t>инфузий</w:t>
            </w:r>
            <w:proofErr w:type="spellEnd"/>
            <w:r w:rsidRPr="00507D0D">
              <w:rPr>
                <w:rFonts w:cs="Times New Roman"/>
                <w:color w:val="000000"/>
                <w:sz w:val="22"/>
                <w:szCs w:val="22"/>
              </w:rPr>
              <w:t xml:space="preserve"> 3% 200,0</w:t>
            </w:r>
          </w:p>
        </w:tc>
        <w:tc>
          <w:tcPr>
            <w:tcW w:w="992" w:type="dxa"/>
            <w:shd w:val="clear" w:color="000000" w:fill="FFFFFF"/>
            <w:noWrap/>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флакон</w:t>
            </w:r>
          </w:p>
        </w:tc>
        <w:tc>
          <w:tcPr>
            <w:tcW w:w="821" w:type="dxa"/>
            <w:shd w:val="clear" w:color="000000" w:fill="FFFFFF"/>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200</w:t>
            </w:r>
          </w:p>
        </w:tc>
        <w:tc>
          <w:tcPr>
            <w:tcW w:w="1447" w:type="dxa"/>
            <w:shd w:val="clear" w:color="000000" w:fill="FFFFFF"/>
            <w:noWrap/>
            <w:vAlign w:val="center"/>
          </w:tcPr>
          <w:p w:rsidR="00C03CED" w:rsidRPr="00507D0D" w:rsidRDefault="00C03CED" w:rsidP="00690753">
            <w:pPr>
              <w:jc w:val="center"/>
              <w:rPr>
                <w:sz w:val="22"/>
                <w:szCs w:val="22"/>
                <w:lang w:val="kk-KZ"/>
              </w:rPr>
            </w:pPr>
            <w:r w:rsidRPr="00507D0D">
              <w:rPr>
                <w:sz w:val="22"/>
                <w:szCs w:val="22"/>
                <w:lang w:val="kk-KZ"/>
              </w:rPr>
              <w:t>379,00</w:t>
            </w:r>
          </w:p>
        </w:tc>
        <w:tc>
          <w:tcPr>
            <w:tcW w:w="1418" w:type="dxa"/>
            <w:shd w:val="clear" w:color="000000" w:fill="FFFFFF"/>
            <w:noWrap/>
            <w:vAlign w:val="center"/>
          </w:tcPr>
          <w:p w:rsidR="00C03CED" w:rsidRPr="00507D0D" w:rsidRDefault="00C03CED" w:rsidP="00E971B2">
            <w:pPr>
              <w:jc w:val="center"/>
              <w:rPr>
                <w:sz w:val="22"/>
                <w:szCs w:val="22"/>
                <w:lang w:val="kk-KZ"/>
              </w:rPr>
            </w:pPr>
            <w:r w:rsidRPr="00507D0D">
              <w:rPr>
                <w:sz w:val="22"/>
                <w:szCs w:val="22"/>
                <w:lang w:val="kk-KZ"/>
              </w:rPr>
              <w:t>75 800,00</w:t>
            </w:r>
          </w:p>
        </w:tc>
      </w:tr>
      <w:tr w:rsidR="00C03CED" w:rsidRPr="00434794" w:rsidTr="008D6B6F">
        <w:trPr>
          <w:trHeight w:val="477"/>
        </w:trPr>
        <w:tc>
          <w:tcPr>
            <w:tcW w:w="668" w:type="dxa"/>
            <w:shd w:val="clear" w:color="000000" w:fill="FFFFFF"/>
            <w:noWrap/>
            <w:vAlign w:val="center"/>
          </w:tcPr>
          <w:p w:rsidR="00C03CED" w:rsidRDefault="00C03CED" w:rsidP="00434794">
            <w:pPr>
              <w:jc w:val="center"/>
              <w:rPr>
                <w:rFonts w:cs="Times New Roman"/>
                <w:sz w:val="22"/>
                <w:szCs w:val="22"/>
                <w:lang w:val="kk-KZ"/>
              </w:rPr>
            </w:pPr>
            <w:r>
              <w:rPr>
                <w:rFonts w:cs="Times New Roman"/>
                <w:sz w:val="22"/>
                <w:szCs w:val="22"/>
                <w:lang w:val="kk-KZ"/>
              </w:rPr>
              <w:t>9</w:t>
            </w:r>
          </w:p>
        </w:tc>
        <w:tc>
          <w:tcPr>
            <w:tcW w:w="4861" w:type="dxa"/>
            <w:shd w:val="clear" w:color="000000" w:fill="FFFFFF"/>
            <w:vAlign w:val="center"/>
          </w:tcPr>
          <w:p w:rsidR="00C03CED" w:rsidRPr="00507D0D" w:rsidRDefault="00C03CED" w:rsidP="00434794">
            <w:pPr>
              <w:jc w:val="center"/>
              <w:rPr>
                <w:rFonts w:cs="Times New Roman"/>
                <w:sz w:val="22"/>
                <w:szCs w:val="22"/>
              </w:rPr>
            </w:pPr>
            <w:r w:rsidRPr="00507D0D">
              <w:rPr>
                <w:rFonts w:cs="Times New Roman"/>
                <w:color w:val="000000"/>
                <w:sz w:val="22"/>
                <w:szCs w:val="22"/>
              </w:rPr>
              <w:t xml:space="preserve">Раствор </w:t>
            </w:r>
            <w:proofErr w:type="spellStart"/>
            <w:r w:rsidRPr="00507D0D">
              <w:rPr>
                <w:rFonts w:cs="Times New Roman"/>
                <w:color w:val="000000"/>
                <w:sz w:val="22"/>
                <w:szCs w:val="22"/>
              </w:rPr>
              <w:t>прокаина</w:t>
            </w:r>
            <w:proofErr w:type="spellEnd"/>
            <w:r w:rsidRPr="00507D0D">
              <w:rPr>
                <w:rFonts w:cs="Times New Roman"/>
                <w:color w:val="000000"/>
                <w:sz w:val="22"/>
                <w:szCs w:val="22"/>
              </w:rPr>
              <w:t>. Раствор  0,5 % -100 мл Стерильно</w:t>
            </w:r>
          </w:p>
        </w:tc>
        <w:tc>
          <w:tcPr>
            <w:tcW w:w="992" w:type="dxa"/>
            <w:shd w:val="clear" w:color="000000" w:fill="FFFFFF"/>
            <w:noWrap/>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флакон</w:t>
            </w:r>
          </w:p>
        </w:tc>
        <w:tc>
          <w:tcPr>
            <w:tcW w:w="821" w:type="dxa"/>
            <w:shd w:val="clear" w:color="000000" w:fill="FFFFFF"/>
            <w:vAlign w:val="center"/>
          </w:tcPr>
          <w:p w:rsidR="00C03CED" w:rsidRPr="00507D0D" w:rsidRDefault="00C03CED" w:rsidP="00C03CED">
            <w:pPr>
              <w:jc w:val="center"/>
              <w:rPr>
                <w:rFonts w:cs="Times New Roman"/>
                <w:sz w:val="22"/>
                <w:szCs w:val="22"/>
                <w:lang w:val="kk-KZ"/>
              </w:rPr>
            </w:pPr>
            <w:r w:rsidRPr="00507D0D">
              <w:rPr>
                <w:rFonts w:cs="Times New Roman"/>
                <w:sz w:val="22"/>
                <w:szCs w:val="22"/>
                <w:lang w:val="kk-KZ"/>
              </w:rPr>
              <w:t>400</w:t>
            </w:r>
          </w:p>
        </w:tc>
        <w:tc>
          <w:tcPr>
            <w:tcW w:w="1447" w:type="dxa"/>
            <w:shd w:val="clear" w:color="000000" w:fill="FFFFFF"/>
            <w:noWrap/>
            <w:vAlign w:val="center"/>
          </w:tcPr>
          <w:p w:rsidR="00C03CED" w:rsidRPr="00507D0D" w:rsidRDefault="00C03CED" w:rsidP="00690753">
            <w:pPr>
              <w:jc w:val="center"/>
              <w:rPr>
                <w:sz w:val="22"/>
                <w:szCs w:val="22"/>
                <w:lang w:val="kk-KZ"/>
              </w:rPr>
            </w:pPr>
            <w:r w:rsidRPr="00507D0D">
              <w:rPr>
                <w:sz w:val="22"/>
                <w:szCs w:val="22"/>
                <w:lang w:val="kk-KZ"/>
              </w:rPr>
              <w:t>270,00</w:t>
            </w:r>
          </w:p>
        </w:tc>
        <w:tc>
          <w:tcPr>
            <w:tcW w:w="1418" w:type="dxa"/>
            <w:shd w:val="clear" w:color="000000" w:fill="FFFFFF"/>
            <w:noWrap/>
            <w:vAlign w:val="center"/>
          </w:tcPr>
          <w:p w:rsidR="00C03CED" w:rsidRPr="00507D0D" w:rsidRDefault="00C03CED" w:rsidP="00E971B2">
            <w:pPr>
              <w:jc w:val="center"/>
              <w:rPr>
                <w:sz w:val="22"/>
                <w:szCs w:val="22"/>
                <w:lang w:val="kk-KZ"/>
              </w:rPr>
            </w:pPr>
            <w:r w:rsidRPr="00507D0D">
              <w:rPr>
                <w:sz w:val="22"/>
                <w:szCs w:val="22"/>
                <w:lang w:val="kk-KZ"/>
              </w:rPr>
              <w:t>108 000,00</w:t>
            </w:r>
          </w:p>
        </w:tc>
      </w:tr>
      <w:tr w:rsidR="00C03CED" w:rsidRPr="00434794" w:rsidTr="008D6B6F">
        <w:trPr>
          <w:trHeight w:val="477"/>
        </w:trPr>
        <w:tc>
          <w:tcPr>
            <w:tcW w:w="668" w:type="dxa"/>
            <w:shd w:val="clear" w:color="000000" w:fill="FFFFFF"/>
            <w:noWrap/>
            <w:vAlign w:val="center"/>
          </w:tcPr>
          <w:p w:rsidR="00C03CED" w:rsidRDefault="00C03CED" w:rsidP="00434794">
            <w:pPr>
              <w:jc w:val="center"/>
              <w:rPr>
                <w:rFonts w:cs="Times New Roman"/>
                <w:sz w:val="22"/>
                <w:szCs w:val="22"/>
                <w:lang w:val="kk-KZ"/>
              </w:rPr>
            </w:pPr>
            <w:r>
              <w:rPr>
                <w:rFonts w:cs="Times New Roman"/>
                <w:sz w:val="22"/>
                <w:szCs w:val="22"/>
                <w:lang w:val="kk-KZ"/>
              </w:rPr>
              <w:t>10</w:t>
            </w:r>
          </w:p>
        </w:tc>
        <w:tc>
          <w:tcPr>
            <w:tcW w:w="4861" w:type="dxa"/>
            <w:shd w:val="clear" w:color="000000" w:fill="FFFFFF"/>
            <w:vAlign w:val="center"/>
          </w:tcPr>
          <w:p w:rsidR="00C03CED" w:rsidRPr="00507D0D" w:rsidRDefault="00C03CED" w:rsidP="00C03CED">
            <w:pPr>
              <w:jc w:val="center"/>
              <w:rPr>
                <w:rFonts w:cs="Times New Roman"/>
                <w:sz w:val="22"/>
                <w:szCs w:val="22"/>
              </w:rPr>
            </w:pPr>
            <w:r w:rsidRPr="00507D0D">
              <w:rPr>
                <w:rFonts w:cs="Times New Roman"/>
                <w:color w:val="000000"/>
                <w:sz w:val="22"/>
                <w:szCs w:val="22"/>
              </w:rPr>
              <w:t>Раствор натрия хлорида 30 % 200,0</w:t>
            </w:r>
          </w:p>
        </w:tc>
        <w:tc>
          <w:tcPr>
            <w:tcW w:w="992" w:type="dxa"/>
            <w:shd w:val="clear" w:color="000000" w:fill="FFFFFF"/>
            <w:noWrap/>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флакон</w:t>
            </w:r>
          </w:p>
        </w:tc>
        <w:tc>
          <w:tcPr>
            <w:tcW w:w="821" w:type="dxa"/>
            <w:shd w:val="clear" w:color="000000" w:fill="FFFFFF"/>
            <w:vAlign w:val="center"/>
          </w:tcPr>
          <w:p w:rsidR="00C03CED" w:rsidRPr="00507D0D" w:rsidRDefault="00C03CED" w:rsidP="00434794">
            <w:pPr>
              <w:jc w:val="center"/>
              <w:rPr>
                <w:rFonts w:cs="Times New Roman"/>
                <w:sz w:val="22"/>
                <w:szCs w:val="22"/>
                <w:lang w:val="kk-KZ"/>
              </w:rPr>
            </w:pPr>
            <w:r w:rsidRPr="00507D0D">
              <w:rPr>
                <w:rFonts w:cs="Times New Roman"/>
                <w:sz w:val="22"/>
                <w:szCs w:val="22"/>
                <w:lang w:val="kk-KZ"/>
              </w:rPr>
              <w:t>30</w:t>
            </w:r>
          </w:p>
        </w:tc>
        <w:tc>
          <w:tcPr>
            <w:tcW w:w="1447" w:type="dxa"/>
            <w:shd w:val="clear" w:color="000000" w:fill="FFFFFF"/>
            <w:noWrap/>
            <w:vAlign w:val="center"/>
          </w:tcPr>
          <w:p w:rsidR="00C03CED" w:rsidRPr="00507D0D" w:rsidRDefault="00C03CED" w:rsidP="00690753">
            <w:pPr>
              <w:jc w:val="center"/>
              <w:rPr>
                <w:sz w:val="22"/>
                <w:szCs w:val="22"/>
                <w:lang w:val="kk-KZ"/>
              </w:rPr>
            </w:pPr>
            <w:r w:rsidRPr="00507D0D">
              <w:rPr>
                <w:sz w:val="22"/>
                <w:szCs w:val="22"/>
                <w:lang w:val="kk-KZ"/>
              </w:rPr>
              <w:t>693,00</w:t>
            </w:r>
          </w:p>
        </w:tc>
        <w:tc>
          <w:tcPr>
            <w:tcW w:w="1418" w:type="dxa"/>
            <w:shd w:val="clear" w:color="000000" w:fill="FFFFFF"/>
            <w:noWrap/>
            <w:vAlign w:val="center"/>
          </w:tcPr>
          <w:p w:rsidR="00C03CED" w:rsidRPr="00507D0D" w:rsidRDefault="00C03CED" w:rsidP="00E971B2">
            <w:pPr>
              <w:jc w:val="center"/>
              <w:rPr>
                <w:sz w:val="22"/>
                <w:szCs w:val="22"/>
                <w:lang w:val="kk-KZ"/>
              </w:rPr>
            </w:pPr>
            <w:r w:rsidRPr="00507D0D">
              <w:rPr>
                <w:sz w:val="22"/>
                <w:szCs w:val="22"/>
                <w:lang w:val="kk-KZ"/>
              </w:rPr>
              <w:t>20 790,00</w:t>
            </w:r>
          </w:p>
        </w:tc>
      </w:tr>
      <w:tr w:rsidR="00C03CED" w:rsidRPr="00434794" w:rsidTr="008D6B6F">
        <w:trPr>
          <w:trHeight w:val="477"/>
        </w:trPr>
        <w:tc>
          <w:tcPr>
            <w:tcW w:w="668" w:type="dxa"/>
            <w:shd w:val="clear" w:color="000000" w:fill="FFFFFF"/>
            <w:noWrap/>
            <w:vAlign w:val="center"/>
          </w:tcPr>
          <w:p w:rsidR="00C03CED" w:rsidRDefault="00C03CED" w:rsidP="00434794">
            <w:pPr>
              <w:jc w:val="center"/>
              <w:rPr>
                <w:rFonts w:cs="Times New Roman"/>
                <w:sz w:val="22"/>
                <w:szCs w:val="22"/>
                <w:lang w:val="kk-KZ"/>
              </w:rPr>
            </w:pPr>
            <w:r>
              <w:rPr>
                <w:rFonts w:cs="Times New Roman"/>
                <w:sz w:val="22"/>
                <w:szCs w:val="22"/>
                <w:lang w:val="kk-KZ"/>
              </w:rPr>
              <w:t>11</w:t>
            </w:r>
          </w:p>
        </w:tc>
        <w:tc>
          <w:tcPr>
            <w:tcW w:w="4861" w:type="dxa"/>
            <w:shd w:val="clear" w:color="000000" w:fill="FFFFFF"/>
            <w:vAlign w:val="center"/>
          </w:tcPr>
          <w:p w:rsidR="00C03CED" w:rsidRPr="00507D0D" w:rsidRDefault="00C03CED" w:rsidP="00434794">
            <w:pPr>
              <w:jc w:val="center"/>
              <w:rPr>
                <w:rFonts w:cs="Times New Roman"/>
                <w:sz w:val="22"/>
                <w:szCs w:val="22"/>
              </w:rPr>
            </w:pPr>
            <w:r w:rsidRPr="00507D0D">
              <w:rPr>
                <w:rFonts w:cs="Times New Roman"/>
                <w:color w:val="000000"/>
                <w:sz w:val="22"/>
                <w:szCs w:val="22"/>
              </w:rPr>
              <w:t>Масло подсолнечное 10,0 стерильное</w:t>
            </w:r>
          </w:p>
        </w:tc>
        <w:tc>
          <w:tcPr>
            <w:tcW w:w="992" w:type="dxa"/>
            <w:shd w:val="clear" w:color="000000" w:fill="FFFFFF"/>
            <w:noWrap/>
            <w:vAlign w:val="center"/>
          </w:tcPr>
          <w:p w:rsidR="00C03CED" w:rsidRPr="00507D0D" w:rsidRDefault="00507D0D" w:rsidP="00434794">
            <w:pPr>
              <w:jc w:val="center"/>
              <w:rPr>
                <w:rFonts w:cs="Times New Roman"/>
                <w:sz w:val="22"/>
                <w:szCs w:val="22"/>
                <w:lang w:val="kk-KZ"/>
              </w:rPr>
            </w:pPr>
            <w:r w:rsidRPr="00507D0D">
              <w:rPr>
                <w:rFonts w:cs="Times New Roman"/>
                <w:sz w:val="22"/>
                <w:szCs w:val="22"/>
                <w:lang w:val="kk-KZ"/>
              </w:rPr>
              <w:t>флакон</w:t>
            </w:r>
          </w:p>
        </w:tc>
        <w:tc>
          <w:tcPr>
            <w:tcW w:w="821" w:type="dxa"/>
            <w:shd w:val="clear" w:color="000000" w:fill="FFFFFF"/>
            <w:vAlign w:val="center"/>
          </w:tcPr>
          <w:p w:rsidR="00C03CED" w:rsidRPr="00507D0D" w:rsidRDefault="00507D0D" w:rsidP="00434794">
            <w:pPr>
              <w:jc w:val="center"/>
              <w:rPr>
                <w:rFonts w:cs="Times New Roman"/>
                <w:sz w:val="22"/>
                <w:szCs w:val="22"/>
                <w:lang w:val="kk-KZ"/>
              </w:rPr>
            </w:pPr>
            <w:r w:rsidRPr="00507D0D">
              <w:rPr>
                <w:rFonts w:cs="Times New Roman"/>
                <w:sz w:val="22"/>
                <w:szCs w:val="22"/>
                <w:lang w:val="kk-KZ"/>
              </w:rPr>
              <w:t>200</w:t>
            </w:r>
          </w:p>
        </w:tc>
        <w:tc>
          <w:tcPr>
            <w:tcW w:w="1447" w:type="dxa"/>
            <w:shd w:val="clear" w:color="000000" w:fill="FFFFFF"/>
            <w:noWrap/>
            <w:vAlign w:val="center"/>
          </w:tcPr>
          <w:p w:rsidR="00C03CED" w:rsidRPr="00507D0D" w:rsidRDefault="00507D0D" w:rsidP="00690753">
            <w:pPr>
              <w:jc w:val="center"/>
              <w:rPr>
                <w:sz w:val="22"/>
                <w:szCs w:val="22"/>
                <w:lang w:val="kk-KZ"/>
              </w:rPr>
            </w:pPr>
            <w:r w:rsidRPr="00507D0D">
              <w:rPr>
                <w:sz w:val="22"/>
                <w:szCs w:val="22"/>
                <w:lang w:val="kk-KZ"/>
              </w:rPr>
              <w:t>239,00</w:t>
            </w:r>
          </w:p>
        </w:tc>
        <w:tc>
          <w:tcPr>
            <w:tcW w:w="1418" w:type="dxa"/>
            <w:shd w:val="clear" w:color="000000" w:fill="FFFFFF"/>
            <w:noWrap/>
            <w:vAlign w:val="center"/>
          </w:tcPr>
          <w:p w:rsidR="00C03CED" w:rsidRPr="00507D0D" w:rsidRDefault="00507D0D" w:rsidP="00E971B2">
            <w:pPr>
              <w:jc w:val="center"/>
              <w:rPr>
                <w:sz w:val="22"/>
                <w:szCs w:val="22"/>
                <w:lang w:val="kk-KZ"/>
              </w:rPr>
            </w:pPr>
            <w:r w:rsidRPr="00507D0D">
              <w:rPr>
                <w:sz w:val="22"/>
                <w:szCs w:val="22"/>
                <w:lang w:val="kk-KZ"/>
              </w:rPr>
              <w:t>47 800,00</w:t>
            </w:r>
          </w:p>
        </w:tc>
      </w:tr>
      <w:tr w:rsidR="00C03CED" w:rsidRPr="00434794" w:rsidTr="008D6B6F">
        <w:trPr>
          <w:trHeight w:val="477"/>
        </w:trPr>
        <w:tc>
          <w:tcPr>
            <w:tcW w:w="668" w:type="dxa"/>
            <w:shd w:val="clear" w:color="000000" w:fill="FFFFFF"/>
            <w:noWrap/>
            <w:vAlign w:val="center"/>
          </w:tcPr>
          <w:p w:rsidR="00C03CED" w:rsidRDefault="00C03CED" w:rsidP="00434794">
            <w:pPr>
              <w:jc w:val="center"/>
              <w:rPr>
                <w:rFonts w:cs="Times New Roman"/>
                <w:sz w:val="22"/>
                <w:szCs w:val="22"/>
                <w:lang w:val="kk-KZ"/>
              </w:rPr>
            </w:pPr>
            <w:r>
              <w:rPr>
                <w:rFonts w:cs="Times New Roman"/>
                <w:sz w:val="22"/>
                <w:szCs w:val="22"/>
                <w:lang w:val="kk-KZ"/>
              </w:rPr>
              <w:t>12</w:t>
            </w:r>
          </w:p>
        </w:tc>
        <w:tc>
          <w:tcPr>
            <w:tcW w:w="4861" w:type="dxa"/>
            <w:shd w:val="clear" w:color="000000" w:fill="FFFFFF"/>
            <w:vAlign w:val="center"/>
          </w:tcPr>
          <w:p w:rsidR="00C03CED" w:rsidRPr="00507D0D" w:rsidRDefault="00507D0D" w:rsidP="00434794">
            <w:pPr>
              <w:jc w:val="center"/>
              <w:rPr>
                <w:rFonts w:cs="Times New Roman"/>
                <w:sz w:val="22"/>
                <w:szCs w:val="22"/>
              </w:rPr>
            </w:pPr>
            <w:r w:rsidRPr="00507D0D">
              <w:rPr>
                <w:rFonts w:cs="Times New Roman"/>
                <w:color w:val="000000"/>
                <w:sz w:val="22"/>
                <w:szCs w:val="22"/>
              </w:rPr>
              <w:t>Раствор натрия хлорида 10 % 200,0</w:t>
            </w:r>
          </w:p>
        </w:tc>
        <w:tc>
          <w:tcPr>
            <w:tcW w:w="992" w:type="dxa"/>
            <w:shd w:val="clear" w:color="000000" w:fill="FFFFFF"/>
            <w:noWrap/>
            <w:vAlign w:val="center"/>
          </w:tcPr>
          <w:p w:rsidR="00C03CED" w:rsidRPr="00507D0D" w:rsidRDefault="00507D0D" w:rsidP="00434794">
            <w:pPr>
              <w:jc w:val="center"/>
              <w:rPr>
                <w:rFonts w:cs="Times New Roman"/>
                <w:sz w:val="22"/>
                <w:szCs w:val="22"/>
                <w:lang w:val="kk-KZ"/>
              </w:rPr>
            </w:pPr>
            <w:r>
              <w:rPr>
                <w:rFonts w:cs="Times New Roman"/>
                <w:sz w:val="22"/>
                <w:szCs w:val="22"/>
                <w:lang w:val="kk-KZ"/>
              </w:rPr>
              <w:t>флакон</w:t>
            </w:r>
          </w:p>
        </w:tc>
        <w:tc>
          <w:tcPr>
            <w:tcW w:w="821" w:type="dxa"/>
            <w:shd w:val="clear" w:color="000000" w:fill="FFFFFF"/>
            <w:vAlign w:val="center"/>
          </w:tcPr>
          <w:p w:rsidR="00C03CED" w:rsidRPr="00507D0D" w:rsidRDefault="00507D0D" w:rsidP="00434794">
            <w:pPr>
              <w:jc w:val="center"/>
              <w:rPr>
                <w:rFonts w:cs="Times New Roman"/>
                <w:sz w:val="22"/>
                <w:szCs w:val="22"/>
                <w:lang w:val="kk-KZ"/>
              </w:rPr>
            </w:pPr>
            <w:r>
              <w:rPr>
                <w:rFonts w:cs="Times New Roman"/>
                <w:sz w:val="22"/>
                <w:szCs w:val="22"/>
                <w:lang w:val="kk-KZ"/>
              </w:rPr>
              <w:t>500</w:t>
            </w:r>
          </w:p>
        </w:tc>
        <w:tc>
          <w:tcPr>
            <w:tcW w:w="1447" w:type="dxa"/>
            <w:shd w:val="clear" w:color="000000" w:fill="FFFFFF"/>
            <w:noWrap/>
            <w:vAlign w:val="center"/>
          </w:tcPr>
          <w:p w:rsidR="00C03CED" w:rsidRPr="00507D0D" w:rsidRDefault="00507D0D" w:rsidP="00690753">
            <w:pPr>
              <w:jc w:val="center"/>
              <w:rPr>
                <w:sz w:val="22"/>
                <w:szCs w:val="22"/>
                <w:lang w:val="kk-KZ"/>
              </w:rPr>
            </w:pPr>
            <w:r>
              <w:rPr>
                <w:sz w:val="22"/>
                <w:szCs w:val="22"/>
                <w:lang w:val="kk-KZ"/>
              </w:rPr>
              <w:t>600,00</w:t>
            </w:r>
          </w:p>
        </w:tc>
        <w:tc>
          <w:tcPr>
            <w:tcW w:w="1418" w:type="dxa"/>
            <w:shd w:val="clear" w:color="000000" w:fill="FFFFFF"/>
            <w:noWrap/>
            <w:vAlign w:val="center"/>
          </w:tcPr>
          <w:p w:rsidR="00C03CED" w:rsidRPr="00507D0D" w:rsidRDefault="00507D0D" w:rsidP="00E971B2">
            <w:pPr>
              <w:jc w:val="center"/>
              <w:rPr>
                <w:sz w:val="22"/>
                <w:szCs w:val="22"/>
                <w:lang w:val="kk-KZ"/>
              </w:rPr>
            </w:pPr>
            <w:r>
              <w:rPr>
                <w:sz w:val="22"/>
                <w:szCs w:val="22"/>
                <w:lang w:val="kk-KZ"/>
              </w:rPr>
              <w:t>300 000,00</w:t>
            </w:r>
          </w:p>
        </w:tc>
      </w:tr>
    </w:tbl>
    <w:p w:rsidR="0048597F" w:rsidRPr="00C63D02" w:rsidRDefault="00D53757" w:rsidP="00D23A74">
      <w:pPr>
        <w:jc w:val="both"/>
      </w:pPr>
      <w:r w:rsidRPr="0032207B">
        <w:t>Выделенная</w:t>
      </w:r>
      <w:r w:rsidR="0080080F" w:rsidRPr="0032207B">
        <w:t xml:space="preserve"> сумма</w:t>
      </w:r>
      <w:r w:rsidR="007773A2" w:rsidRPr="0032207B">
        <w:t xml:space="preserve"> </w:t>
      </w:r>
      <w:r w:rsidR="007B4953">
        <w:rPr>
          <w:rFonts w:eastAsia="Times New Roman" w:cs="Times New Roman"/>
          <w:kern w:val="0"/>
          <w:lang w:val="kk-KZ" w:eastAsia="ru-RU" w:bidi="ar-SA"/>
        </w:rPr>
        <w:t>2 380 424</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7B4953" w:rsidRPr="007B4953">
        <w:t>два миллиона триста восемьдесят тысяч четыреста двадцать четыре</w:t>
      </w:r>
      <w:r w:rsidR="0048597F" w:rsidRPr="00C63D02">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7B4953">
        <w:rPr>
          <w:rFonts w:cs="Times New Roman"/>
        </w:rPr>
        <w:t>24</w:t>
      </w:r>
      <w:r w:rsidRPr="0032207B">
        <w:rPr>
          <w:rFonts w:cs="Times New Roman"/>
        </w:rPr>
        <w:t>.</w:t>
      </w:r>
      <w:r w:rsidR="00685AF2" w:rsidRPr="0032207B">
        <w:rPr>
          <w:rFonts w:cs="Times New Roman"/>
        </w:rPr>
        <w:t>0</w:t>
      </w:r>
      <w:r w:rsidR="00D45A66">
        <w:rPr>
          <w:rFonts w:cs="Times New Roman"/>
        </w:rPr>
        <w:t>9</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7B4953">
        <w:rPr>
          <w:rFonts w:cs="Times New Roman"/>
        </w:rPr>
        <w:t>24</w:t>
      </w:r>
      <w:r w:rsidRPr="0032207B">
        <w:rPr>
          <w:rFonts w:cs="Times New Roman"/>
        </w:rPr>
        <w:t>.</w:t>
      </w:r>
      <w:r w:rsidR="0032207B">
        <w:rPr>
          <w:rFonts w:cs="Times New Roman"/>
        </w:rPr>
        <w:t>0</w:t>
      </w:r>
      <w:r w:rsidR="00D45A66">
        <w:rPr>
          <w:rFonts w:cs="Times New Roman"/>
        </w:rPr>
        <w:t>9</w:t>
      </w:r>
      <w:r w:rsidRPr="0032207B">
        <w:rPr>
          <w:rFonts w:cs="Times New Roman"/>
        </w:rPr>
        <w:t>.</w:t>
      </w:r>
      <w:r w:rsidR="005F237D" w:rsidRPr="0032207B">
        <w:rPr>
          <w:rFonts w:cs="Times New Roman"/>
        </w:rPr>
        <w:t>2021</w:t>
      </w:r>
      <w:r w:rsidRPr="0032207B">
        <w:rPr>
          <w:rFonts w:cs="Times New Roman"/>
        </w:rPr>
        <w:t xml:space="preserve">. время </w:t>
      </w:r>
      <w:r w:rsidR="00A56CD0">
        <w:rPr>
          <w:rFonts w:cs="Times New Roman"/>
        </w:rPr>
        <w:t>1</w:t>
      </w:r>
      <w:r w:rsidR="00020133">
        <w:rPr>
          <w:rFonts w:cs="Times New Roman"/>
          <w:lang w:val="kk-KZ"/>
        </w:rPr>
        <w:t>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lastRenderedPageBreak/>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0"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1" w:name="z375"/>
      <w:bookmarkEnd w:id="0"/>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2" w:name="z382"/>
      <w:bookmarkEnd w:id="1"/>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3" w:name="z383"/>
      <w:bookmarkEnd w:id="2"/>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4" w:name="z384"/>
      <w:bookmarkEnd w:id="3"/>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5" w:name="z385"/>
      <w:bookmarkEnd w:id="4"/>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6" w:name="z386"/>
      <w:bookmarkEnd w:id="5"/>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7" w:name="z387"/>
      <w:bookmarkEnd w:id="6"/>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8" w:name="z388"/>
      <w:bookmarkEnd w:id="7"/>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9" w:name="z389"/>
      <w:bookmarkEnd w:id="8"/>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90"/>
      <w:bookmarkEnd w:id="9"/>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1" w:name="z391"/>
      <w:bookmarkEnd w:id="10"/>
      <w:r w:rsidRPr="0032207B">
        <w:rPr>
          <w:color w:val="000000"/>
        </w:rPr>
        <w:lastRenderedPageBreak/>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2" w:name="z392"/>
      <w:bookmarkEnd w:id="11"/>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3" w:name="z394"/>
      <w:bookmarkEnd w:id="12"/>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4" w:name="z396"/>
      <w:bookmarkEnd w:id="13"/>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5" w:name="z397"/>
      <w:bookmarkEnd w:id="14"/>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5"/>
    <w:p w:rsidR="0080080F" w:rsidRPr="0032207B" w:rsidRDefault="0080080F" w:rsidP="0048597F">
      <w:pPr>
        <w:jc w:val="both"/>
        <w:rPr>
          <w:rFonts w:cs="Times New Roman"/>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Default="0080080F"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Default="00922E33" w:rsidP="0048597F">
      <w:pPr>
        <w:rPr>
          <w:rFonts w:cs="Times New Roman"/>
          <w:sz w:val="22"/>
          <w:szCs w:val="22"/>
        </w:rPr>
      </w:pPr>
    </w:p>
    <w:p w:rsidR="00922E33" w:rsidRPr="0032207B" w:rsidRDefault="00922E33" w:rsidP="0048597F">
      <w:pPr>
        <w:rPr>
          <w:rFonts w:cs="Times New Roman"/>
          <w:sz w:val="22"/>
          <w:szCs w:val="22"/>
        </w:rPr>
      </w:pPr>
    </w:p>
    <w:p w:rsidR="0080080F" w:rsidRPr="008D6B6F" w:rsidRDefault="001811AD" w:rsidP="0048597F">
      <w:pPr>
        <w:rPr>
          <w:rFonts w:cs="Times New Roman"/>
          <w:sz w:val="20"/>
          <w:szCs w:val="20"/>
        </w:rPr>
      </w:pPr>
      <w:r w:rsidRPr="008D6B6F">
        <w:rPr>
          <w:rFonts w:cs="Times New Roman"/>
          <w:i/>
          <w:sz w:val="20"/>
          <w:szCs w:val="20"/>
        </w:rPr>
        <w:t>Исп</w:t>
      </w:r>
      <w:r w:rsidR="003469CF" w:rsidRPr="008D6B6F">
        <w:rPr>
          <w:rFonts w:cs="Times New Roman"/>
          <w:i/>
          <w:sz w:val="20"/>
          <w:szCs w:val="20"/>
        </w:rPr>
        <w:t>.</w:t>
      </w:r>
      <w:r w:rsidR="00694C51" w:rsidRPr="008D6B6F">
        <w:rPr>
          <w:rFonts w:cs="Times New Roman"/>
          <w:i/>
          <w:sz w:val="20"/>
          <w:szCs w:val="20"/>
        </w:rPr>
        <w:t xml:space="preserve"> </w:t>
      </w:r>
      <w:proofErr w:type="spellStart"/>
      <w:r w:rsidR="006F5C83" w:rsidRPr="008D6B6F">
        <w:rPr>
          <w:rFonts w:cs="Times New Roman"/>
          <w:i/>
          <w:sz w:val="20"/>
          <w:szCs w:val="20"/>
        </w:rPr>
        <w:t>Жанабайкызы</w:t>
      </w:r>
      <w:proofErr w:type="spellEnd"/>
      <w:r w:rsidR="006F5C83" w:rsidRPr="008D6B6F">
        <w:rPr>
          <w:rFonts w:cs="Times New Roman"/>
          <w:i/>
          <w:sz w:val="20"/>
          <w:szCs w:val="20"/>
        </w:rPr>
        <w:t xml:space="preserve"> К.</w:t>
      </w:r>
      <w:bookmarkStart w:id="16" w:name="_GoBack"/>
      <w:bookmarkEnd w:id="16"/>
    </w:p>
    <w:p w:rsidR="0086053E" w:rsidRPr="008D6B6F" w:rsidRDefault="0080080F" w:rsidP="0048597F">
      <w:pPr>
        <w:rPr>
          <w:rFonts w:cs="Times New Roman"/>
          <w:sz w:val="20"/>
          <w:szCs w:val="20"/>
        </w:rPr>
      </w:pPr>
      <w:r w:rsidRPr="008D6B6F">
        <w:rPr>
          <w:rFonts w:cs="Times New Roman"/>
          <w:i/>
          <w:sz w:val="20"/>
          <w:szCs w:val="20"/>
        </w:rPr>
        <w:t>8-727-278-04-44</w:t>
      </w:r>
    </w:p>
    <w:sectPr w:rsidR="0086053E" w:rsidRPr="008D6B6F"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34794"/>
    <w:rsid w:val="00445013"/>
    <w:rsid w:val="00451346"/>
    <w:rsid w:val="00451750"/>
    <w:rsid w:val="004610F5"/>
    <w:rsid w:val="00465DCA"/>
    <w:rsid w:val="00477377"/>
    <w:rsid w:val="0048407F"/>
    <w:rsid w:val="0048597F"/>
    <w:rsid w:val="00496264"/>
    <w:rsid w:val="004A27C1"/>
    <w:rsid w:val="004D03BF"/>
    <w:rsid w:val="004E4A3A"/>
    <w:rsid w:val="00507D0D"/>
    <w:rsid w:val="005443E2"/>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0753"/>
    <w:rsid w:val="00694C51"/>
    <w:rsid w:val="006B7388"/>
    <w:rsid w:val="006F0BB2"/>
    <w:rsid w:val="006F5C83"/>
    <w:rsid w:val="00701661"/>
    <w:rsid w:val="007043A3"/>
    <w:rsid w:val="007151CF"/>
    <w:rsid w:val="00720938"/>
    <w:rsid w:val="00721326"/>
    <w:rsid w:val="007223B9"/>
    <w:rsid w:val="00726042"/>
    <w:rsid w:val="00737B3F"/>
    <w:rsid w:val="007475E3"/>
    <w:rsid w:val="007500B0"/>
    <w:rsid w:val="00762AF4"/>
    <w:rsid w:val="007773A2"/>
    <w:rsid w:val="00791186"/>
    <w:rsid w:val="007B4953"/>
    <w:rsid w:val="007D3FAC"/>
    <w:rsid w:val="007D4CE6"/>
    <w:rsid w:val="007D6ED1"/>
    <w:rsid w:val="007D726A"/>
    <w:rsid w:val="007D7F11"/>
    <w:rsid w:val="0080080F"/>
    <w:rsid w:val="00854526"/>
    <w:rsid w:val="0086053E"/>
    <w:rsid w:val="008D65C8"/>
    <w:rsid w:val="008D6B6F"/>
    <w:rsid w:val="008E5FB5"/>
    <w:rsid w:val="0090711C"/>
    <w:rsid w:val="0092001F"/>
    <w:rsid w:val="00922E33"/>
    <w:rsid w:val="00946F21"/>
    <w:rsid w:val="00956B72"/>
    <w:rsid w:val="009576FE"/>
    <w:rsid w:val="009676AE"/>
    <w:rsid w:val="009710A9"/>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793"/>
    <w:rsid w:val="00A46BA5"/>
    <w:rsid w:val="00A534D2"/>
    <w:rsid w:val="00A56CD0"/>
    <w:rsid w:val="00A85D9B"/>
    <w:rsid w:val="00A966A6"/>
    <w:rsid w:val="00AA1CC0"/>
    <w:rsid w:val="00AA2089"/>
    <w:rsid w:val="00AF49ED"/>
    <w:rsid w:val="00AF5191"/>
    <w:rsid w:val="00B14976"/>
    <w:rsid w:val="00B2441D"/>
    <w:rsid w:val="00B2483B"/>
    <w:rsid w:val="00B25283"/>
    <w:rsid w:val="00B27751"/>
    <w:rsid w:val="00B85056"/>
    <w:rsid w:val="00B96CF4"/>
    <w:rsid w:val="00BA038D"/>
    <w:rsid w:val="00BD5D00"/>
    <w:rsid w:val="00BF2A72"/>
    <w:rsid w:val="00C03CED"/>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45A66"/>
    <w:rsid w:val="00D53757"/>
    <w:rsid w:val="00D62F31"/>
    <w:rsid w:val="00D757F8"/>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43391"/>
    <w:rsid w:val="00E50379"/>
    <w:rsid w:val="00E85795"/>
    <w:rsid w:val="00E9429A"/>
    <w:rsid w:val="00E95BC4"/>
    <w:rsid w:val="00E971B2"/>
    <w:rsid w:val="00EA074F"/>
    <w:rsid w:val="00EA5A05"/>
    <w:rsid w:val="00EB3866"/>
    <w:rsid w:val="00EB4EF3"/>
    <w:rsid w:val="00EB7499"/>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5BAF-C5D8-45D2-AC68-BDAA86CA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3</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140</cp:revision>
  <cp:lastPrinted>2021-09-20T04:29:00Z</cp:lastPrinted>
  <dcterms:created xsi:type="dcterms:W3CDTF">2019-01-15T05:22:00Z</dcterms:created>
  <dcterms:modified xsi:type="dcterms:W3CDTF">2021-09-20T04:40:00Z</dcterms:modified>
</cp:coreProperties>
</file>