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980552" w:rsidRDefault="00D02D36" w:rsidP="0048597F">
      <w:pPr>
        <w:jc w:val="center"/>
        <w:rPr>
          <w:rFonts w:cs="Times New Roman"/>
          <w:b/>
          <w:sz w:val="22"/>
          <w:szCs w:val="22"/>
        </w:rPr>
      </w:pPr>
      <w:r w:rsidRPr="00980552">
        <w:rPr>
          <w:rFonts w:cs="Times New Roman"/>
          <w:b/>
          <w:sz w:val="22"/>
          <w:szCs w:val="22"/>
        </w:rPr>
        <w:t>Объявления</w:t>
      </w:r>
    </w:p>
    <w:p w:rsidR="00D02D36" w:rsidRPr="00445013" w:rsidRDefault="00D02D36" w:rsidP="0048597F">
      <w:pPr>
        <w:jc w:val="center"/>
        <w:rPr>
          <w:rFonts w:cs="Times New Roman"/>
          <w:b/>
        </w:rPr>
      </w:pPr>
      <w:r w:rsidRPr="00445013">
        <w:rPr>
          <w:rFonts w:cs="Times New Roman"/>
          <w:b/>
        </w:rPr>
        <w:t>о проведении закупа способом запроса ценовых предложений</w:t>
      </w:r>
      <w:r w:rsidR="00721326" w:rsidRPr="00445013">
        <w:rPr>
          <w:rFonts w:cs="Times New Roman"/>
          <w:b/>
          <w:u w:val="single"/>
        </w:rPr>
        <w:t>.</w:t>
      </w:r>
    </w:p>
    <w:p w:rsidR="00694C51" w:rsidRPr="00445013" w:rsidRDefault="00694C51" w:rsidP="0048597F">
      <w:pPr>
        <w:jc w:val="center"/>
        <w:rPr>
          <w:rFonts w:cs="Times New Roman"/>
        </w:rPr>
      </w:pPr>
    </w:p>
    <w:p w:rsidR="0080080F" w:rsidRPr="00445013" w:rsidRDefault="0080080F" w:rsidP="0048597F">
      <w:pPr>
        <w:rPr>
          <w:rFonts w:cs="Times New Roman"/>
        </w:rPr>
      </w:pPr>
      <w:proofErr w:type="spellStart"/>
      <w:r w:rsidRPr="00445013">
        <w:rPr>
          <w:rFonts w:cs="Times New Roman"/>
        </w:rPr>
        <w:t>г</w:t>
      </w:r>
      <w:proofErr w:type="gramStart"/>
      <w:r w:rsidRPr="00445013">
        <w:rPr>
          <w:rFonts w:cs="Times New Roman"/>
        </w:rPr>
        <w:t>.А</w:t>
      </w:r>
      <w:proofErr w:type="gramEnd"/>
      <w:r w:rsidRPr="00445013">
        <w:rPr>
          <w:rFonts w:cs="Times New Roman"/>
        </w:rPr>
        <w:t>лматы</w:t>
      </w:r>
      <w:proofErr w:type="spellEnd"/>
      <w:r w:rsidRPr="00445013">
        <w:rPr>
          <w:rFonts w:cs="Times New Roman"/>
        </w:rPr>
        <w:t xml:space="preserve"> </w:t>
      </w:r>
      <w:r w:rsidRPr="00445013">
        <w:rPr>
          <w:rFonts w:cs="Times New Roman"/>
        </w:rPr>
        <w:tab/>
      </w:r>
      <w:r w:rsidRPr="00445013">
        <w:rPr>
          <w:rFonts w:cs="Times New Roman"/>
        </w:rPr>
        <w:tab/>
      </w:r>
      <w:r w:rsidRPr="00445013">
        <w:rPr>
          <w:rFonts w:cs="Times New Roman"/>
        </w:rPr>
        <w:tab/>
      </w:r>
      <w:r w:rsidRPr="00445013">
        <w:rPr>
          <w:rFonts w:cs="Times New Roman"/>
        </w:rPr>
        <w:tab/>
      </w:r>
      <w:r w:rsidRPr="00445013">
        <w:rPr>
          <w:rFonts w:cs="Times New Roman"/>
        </w:rPr>
        <w:tab/>
      </w:r>
      <w:r w:rsidRPr="00445013">
        <w:rPr>
          <w:rFonts w:cs="Times New Roman"/>
        </w:rPr>
        <w:tab/>
      </w:r>
      <w:r w:rsidRPr="00445013">
        <w:rPr>
          <w:rFonts w:cs="Times New Roman"/>
        </w:rPr>
        <w:tab/>
      </w:r>
      <w:r w:rsidR="00562323" w:rsidRPr="00445013">
        <w:rPr>
          <w:rFonts w:cs="Times New Roman"/>
        </w:rPr>
        <w:tab/>
      </w:r>
      <w:r w:rsidR="00562323" w:rsidRPr="00445013">
        <w:rPr>
          <w:rFonts w:cs="Times New Roman"/>
        </w:rPr>
        <w:tab/>
      </w:r>
      <w:r w:rsidRPr="00445013">
        <w:rPr>
          <w:rFonts w:cs="Times New Roman"/>
        </w:rPr>
        <w:t xml:space="preserve"> «</w:t>
      </w:r>
      <w:r w:rsidR="008E4F23">
        <w:rPr>
          <w:rFonts w:cs="Times New Roman"/>
          <w:lang w:val="en-US"/>
        </w:rPr>
        <w:t>24</w:t>
      </w:r>
      <w:r w:rsidRPr="00445013">
        <w:rPr>
          <w:rFonts w:cs="Times New Roman"/>
        </w:rPr>
        <w:t xml:space="preserve">» </w:t>
      </w:r>
      <w:r w:rsidR="008E4F23">
        <w:rPr>
          <w:rFonts w:cs="Times New Roman"/>
        </w:rPr>
        <w:t>марта</w:t>
      </w:r>
      <w:r w:rsidR="000E770C" w:rsidRPr="00445013">
        <w:rPr>
          <w:rFonts w:cs="Times New Roman"/>
        </w:rPr>
        <w:t xml:space="preserve"> </w:t>
      </w:r>
      <w:r w:rsidR="00F1687D" w:rsidRPr="00445013">
        <w:rPr>
          <w:rFonts w:cs="Times New Roman"/>
        </w:rPr>
        <w:t>202</w:t>
      </w:r>
      <w:r w:rsidR="000E770C" w:rsidRPr="00445013">
        <w:rPr>
          <w:rFonts w:cs="Times New Roman"/>
        </w:rPr>
        <w:t>1</w:t>
      </w:r>
      <w:r w:rsidRPr="00445013">
        <w:rPr>
          <w:rFonts w:cs="Times New Roman"/>
        </w:rPr>
        <w:t xml:space="preserve"> года</w:t>
      </w:r>
    </w:p>
    <w:p w:rsidR="00D53757" w:rsidRPr="00445013" w:rsidRDefault="00D53757" w:rsidP="0048597F">
      <w:pPr>
        <w:rPr>
          <w:rFonts w:cs="Times New Roman"/>
        </w:rPr>
      </w:pPr>
    </w:p>
    <w:p w:rsidR="00410D0B" w:rsidRPr="00445013" w:rsidRDefault="00410D0B" w:rsidP="0048597F">
      <w:pPr>
        <w:jc w:val="both"/>
        <w:rPr>
          <w:rStyle w:val="s1"/>
          <w:b w:val="0"/>
        </w:rPr>
      </w:pPr>
      <w:r w:rsidRPr="00445013">
        <w:rPr>
          <w:rFonts w:cs="Times New Roman"/>
        </w:rPr>
        <w:t xml:space="preserve">АО «Национальный научный центр хирургии имени А.Н. </w:t>
      </w:r>
      <w:proofErr w:type="spellStart"/>
      <w:r w:rsidRPr="00445013">
        <w:rPr>
          <w:rFonts w:cs="Times New Roman"/>
        </w:rPr>
        <w:t>Сызганова</w:t>
      </w:r>
      <w:proofErr w:type="spellEnd"/>
      <w:r w:rsidRPr="00445013">
        <w:rPr>
          <w:rFonts w:cs="Times New Roman"/>
        </w:rPr>
        <w:t xml:space="preserve">» в соответствии с </w:t>
      </w:r>
      <w:r w:rsidR="00F1687D" w:rsidRPr="00445013">
        <w:rPr>
          <w:rStyle w:val="s1"/>
          <w:b w:val="0"/>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445013">
        <w:rPr>
          <w:rStyle w:val="s1"/>
          <w:b w:val="0"/>
        </w:rPr>
        <w:t xml:space="preserve">(далее-Правил) объявляет о проведении закупа способом запроса ценовых предложений. </w:t>
      </w:r>
    </w:p>
    <w:p w:rsidR="0080080F" w:rsidRPr="00445013" w:rsidRDefault="0080080F" w:rsidP="0048597F">
      <w:pPr>
        <w:jc w:val="both"/>
        <w:rPr>
          <w:rFonts w:cs="Times New Roman"/>
        </w:rPr>
      </w:pPr>
      <w:r w:rsidRPr="00445013">
        <w:rPr>
          <w:rFonts w:cs="Times New Roman"/>
        </w:rPr>
        <w:t xml:space="preserve">Организатор – АО «Национальный научный центр хирургии имени А.Н. </w:t>
      </w:r>
      <w:proofErr w:type="spellStart"/>
      <w:r w:rsidRPr="00445013">
        <w:rPr>
          <w:rFonts w:cs="Times New Roman"/>
        </w:rPr>
        <w:t>Сызганова</w:t>
      </w:r>
      <w:proofErr w:type="spellEnd"/>
      <w:r w:rsidRPr="00445013">
        <w:rPr>
          <w:rFonts w:cs="Times New Roman"/>
        </w:rPr>
        <w:t>»</w:t>
      </w:r>
    </w:p>
    <w:p w:rsidR="0080080F" w:rsidRPr="00445013" w:rsidRDefault="0080080F" w:rsidP="0048597F">
      <w:pPr>
        <w:jc w:val="both"/>
        <w:rPr>
          <w:rFonts w:eastAsiaTheme="minorHAnsi" w:cs="Times New Roman"/>
          <w:kern w:val="0"/>
          <w:lang w:eastAsia="en-US" w:bidi="ar-SA"/>
        </w:rPr>
      </w:pPr>
      <w:r w:rsidRPr="00445013">
        <w:rPr>
          <w:rFonts w:eastAsiaTheme="minorHAnsi" w:cs="Times New Roman"/>
          <w:kern w:val="0"/>
          <w:lang w:eastAsia="en-US" w:bidi="ar-SA"/>
        </w:rPr>
        <w:t xml:space="preserve">Юридический адрес: Казахстан, Алматы, улица </w:t>
      </w:r>
      <w:proofErr w:type="spellStart"/>
      <w:r w:rsidRPr="00445013">
        <w:rPr>
          <w:rFonts w:eastAsiaTheme="minorHAnsi" w:cs="Times New Roman"/>
          <w:kern w:val="0"/>
          <w:lang w:eastAsia="en-US" w:bidi="ar-SA"/>
        </w:rPr>
        <w:t>Желтоксан</w:t>
      </w:r>
      <w:proofErr w:type="spellEnd"/>
      <w:r w:rsidRPr="00445013">
        <w:rPr>
          <w:rFonts w:eastAsiaTheme="minorHAnsi" w:cs="Times New Roman"/>
          <w:kern w:val="0"/>
          <w:lang w:eastAsia="en-US" w:bidi="ar-SA"/>
        </w:rPr>
        <w:t xml:space="preserve"> 62, 51</w:t>
      </w:r>
    </w:p>
    <w:p w:rsidR="00290C95" w:rsidRPr="00445013" w:rsidRDefault="00290C95" w:rsidP="0048597F">
      <w:pPr>
        <w:jc w:val="both"/>
        <w:rPr>
          <w:rFonts w:eastAsiaTheme="minorHAnsi" w:cs="Times New Roman"/>
          <w:kern w:val="0"/>
          <w:lang w:eastAsia="en-US" w:bidi="ar-SA"/>
        </w:rPr>
      </w:pPr>
      <w:r w:rsidRPr="00445013">
        <w:rPr>
          <w:rFonts w:eastAsiaTheme="minorHAnsi" w:cs="Times New Roman"/>
          <w:kern w:val="0"/>
          <w:lang w:eastAsia="en-US" w:bidi="ar-SA"/>
        </w:rPr>
        <w:t>БИН: 990240008204</w:t>
      </w:r>
    </w:p>
    <w:p w:rsidR="00290C95" w:rsidRPr="00445013" w:rsidRDefault="00290C95" w:rsidP="0048597F">
      <w:pPr>
        <w:pStyle w:val="Standard"/>
        <w:jc w:val="both"/>
        <w:rPr>
          <w:rFonts w:cs="Times New Roman"/>
          <w:lang w:eastAsia="en-US"/>
        </w:rPr>
      </w:pPr>
      <w:r w:rsidRPr="00445013">
        <w:rPr>
          <w:rFonts w:cs="Times New Roman"/>
          <w:color w:val="000000"/>
          <w:lang w:eastAsia="en-US"/>
        </w:rPr>
        <w:t>ИИК KZ638560000004322828</w:t>
      </w:r>
    </w:p>
    <w:p w:rsidR="00290C95" w:rsidRPr="00445013" w:rsidRDefault="00290C95" w:rsidP="0048597F">
      <w:pPr>
        <w:pStyle w:val="Standard"/>
        <w:jc w:val="both"/>
        <w:rPr>
          <w:rFonts w:cs="Times New Roman"/>
          <w:lang w:eastAsia="en-US"/>
        </w:rPr>
      </w:pPr>
      <w:r w:rsidRPr="00445013">
        <w:rPr>
          <w:rFonts w:cs="Times New Roman"/>
          <w:color w:val="000000"/>
          <w:lang w:eastAsia="en-US"/>
        </w:rPr>
        <w:t>БИК KCJBKZKX</w:t>
      </w:r>
    </w:p>
    <w:p w:rsidR="00290C95" w:rsidRPr="00445013" w:rsidRDefault="00290C95" w:rsidP="0048597F">
      <w:pPr>
        <w:pStyle w:val="Standard"/>
        <w:jc w:val="both"/>
        <w:rPr>
          <w:rFonts w:cs="Times New Roman"/>
          <w:lang w:eastAsia="en-US"/>
        </w:rPr>
      </w:pPr>
      <w:r w:rsidRPr="00445013">
        <w:rPr>
          <w:rFonts w:cs="Times New Roman"/>
          <w:color w:val="000000"/>
          <w:lang w:eastAsia="en-US"/>
        </w:rPr>
        <w:t>АО «</w:t>
      </w:r>
      <w:proofErr w:type="spellStart"/>
      <w:r w:rsidRPr="00445013">
        <w:rPr>
          <w:rFonts w:cs="Times New Roman"/>
          <w:color w:val="000000"/>
          <w:lang w:eastAsia="en-US"/>
        </w:rPr>
        <w:t>БанкЦентрКредит</w:t>
      </w:r>
      <w:proofErr w:type="spellEnd"/>
      <w:r w:rsidRPr="00445013">
        <w:rPr>
          <w:rFonts w:cs="Times New Roman"/>
          <w:color w:val="000000"/>
          <w:lang w:eastAsia="en-US"/>
        </w:rPr>
        <w:t>»</w:t>
      </w:r>
    </w:p>
    <w:p w:rsidR="00290C95" w:rsidRPr="00445013" w:rsidRDefault="00290C95" w:rsidP="0048597F">
      <w:pPr>
        <w:jc w:val="both"/>
        <w:rPr>
          <w:rFonts w:eastAsiaTheme="minorHAnsi" w:cs="Times New Roman"/>
          <w:kern w:val="0"/>
          <w:lang w:eastAsia="en-US" w:bidi="ar-SA"/>
        </w:rPr>
      </w:pPr>
      <w:r w:rsidRPr="00445013">
        <w:rPr>
          <w:rFonts w:eastAsiaTheme="minorHAnsi" w:cs="Times New Roman"/>
          <w:kern w:val="0"/>
          <w:lang w:eastAsia="en-US" w:bidi="ar-SA"/>
        </w:rPr>
        <w:t>Валюта счета: KZT</w:t>
      </w:r>
    </w:p>
    <w:p w:rsidR="0080080F" w:rsidRPr="00445013" w:rsidRDefault="0080080F" w:rsidP="0048597F">
      <w:pPr>
        <w:jc w:val="both"/>
        <w:rPr>
          <w:rFonts w:eastAsiaTheme="minorHAnsi" w:cs="Times New Roman"/>
          <w:kern w:val="0"/>
          <w:lang w:eastAsia="en-US" w:bidi="ar-SA"/>
        </w:rPr>
      </w:pPr>
      <w:r w:rsidRPr="00445013">
        <w:rPr>
          <w:rFonts w:eastAsiaTheme="minorHAnsi" w:cs="Times New Roman"/>
          <w:bCs/>
          <w:kern w:val="0"/>
          <w:lang w:eastAsia="en-US" w:bidi="ar-SA"/>
        </w:rPr>
        <w:t xml:space="preserve">Представитель организатора: </w:t>
      </w:r>
      <w:proofErr w:type="spellStart"/>
      <w:r w:rsidR="00056832" w:rsidRPr="00445013">
        <w:rPr>
          <w:rFonts w:eastAsiaTheme="minorHAnsi" w:cs="Times New Roman"/>
          <w:kern w:val="0"/>
          <w:lang w:eastAsia="en-US" w:bidi="ar-SA"/>
        </w:rPr>
        <w:t>Мукажанова</w:t>
      </w:r>
      <w:proofErr w:type="spellEnd"/>
      <w:r w:rsidR="00056832" w:rsidRPr="00445013">
        <w:rPr>
          <w:rFonts w:eastAsiaTheme="minorHAnsi" w:cs="Times New Roman"/>
          <w:kern w:val="0"/>
          <w:lang w:eastAsia="en-US" w:bidi="ar-SA"/>
        </w:rPr>
        <w:t xml:space="preserve"> </w:t>
      </w:r>
      <w:proofErr w:type="spellStart"/>
      <w:r w:rsidR="00056832" w:rsidRPr="00445013">
        <w:rPr>
          <w:rFonts w:eastAsiaTheme="minorHAnsi" w:cs="Times New Roman"/>
          <w:kern w:val="0"/>
          <w:lang w:eastAsia="en-US" w:bidi="ar-SA"/>
        </w:rPr>
        <w:t>Назигуль</w:t>
      </w:r>
      <w:proofErr w:type="spellEnd"/>
      <w:r w:rsidR="00056832" w:rsidRPr="00445013">
        <w:rPr>
          <w:rFonts w:eastAsiaTheme="minorHAnsi" w:cs="Times New Roman"/>
          <w:kern w:val="0"/>
          <w:lang w:eastAsia="en-US" w:bidi="ar-SA"/>
        </w:rPr>
        <w:t xml:space="preserve"> </w:t>
      </w:r>
    </w:p>
    <w:p w:rsidR="0080080F" w:rsidRPr="00445013" w:rsidRDefault="0080080F" w:rsidP="0048597F">
      <w:pPr>
        <w:jc w:val="both"/>
        <w:rPr>
          <w:rFonts w:eastAsiaTheme="minorHAnsi" w:cs="Times New Roman"/>
          <w:kern w:val="0"/>
          <w:lang w:eastAsia="en-US" w:bidi="ar-SA"/>
        </w:rPr>
      </w:pPr>
      <w:r w:rsidRPr="00445013">
        <w:rPr>
          <w:rFonts w:eastAsiaTheme="minorHAnsi" w:cs="Times New Roman"/>
          <w:kern w:val="0"/>
          <w:lang w:eastAsia="en-US" w:bidi="ar-SA"/>
        </w:rPr>
        <w:t xml:space="preserve">Должность: </w:t>
      </w:r>
      <w:r w:rsidR="00056832" w:rsidRPr="00445013">
        <w:rPr>
          <w:rFonts w:eastAsiaTheme="minorHAnsi" w:cs="Times New Roman"/>
          <w:kern w:val="0"/>
          <w:lang w:eastAsia="en-US" w:bidi="ar-SA"/>
        </w:rPr>
        <w:t xml:space="preserve">начальник отдела </w:t>
      </w:r>
      <w:r w:rsidR="0090711C" w:rsidRPr="00445013">
        <w:rPr>
          <w:rFonts w:eastAsiaTheme="minorHAnsi" w:cs="Times New Roman"/>
          <w:kern w:val="0"/>
          <w:lang w:eastAsia="en-US" w:bidi="ar-SA"/>
        </w:rPr>
        <w:t>государственных</w:t>
      </w:r>
      <w:r w:rsidR="00E11270" w:rsidRPr="00445013">
        <w:rPr>
          <w:rFonts w:eastAsiaTheme="minorHAnsi" w:cs="Times New Roman"/>
          <w:kern w:val="0"/>
          <w:lang w:eastAsia="en-US" w:bidi="ar-SA"/>
        </w:rPr>
        <w:t xml:space="preserve"> закупок</w:t>
      </w:r>
    </w:p>
    <w:p w:rsidR="0080080F" w:rsidRPr="00445013" w:rsidRDefault="0080080F" w:rsidP="0048597F">
      <w:pPr>
        <w:jc w:val="both"/>
        <w:rPr>
          <w:rFonts w:eastAsiaTheme="minorHAnsi" w:cs="Times New Roman"/>
          <w:kern w:val="0"/>
          <w:lang w:eastAsia="en-US" w:bidi="ar-SA"/>
        </w:rPr>
      </w:pPr>
      <w:r w:rsidRPr="00445013">
        <w:rPr>
          <w:rFonts w:eastAsiaTheme="minorHAnsi" w:cs="Times New Roman"/>
          <w:kern w:val="0"/>
          <w:lang w:eastAsia="en-US" w:bidi="ar-SA"/>
        </w:rPr>
        <w:t>Контактный телефон: 87272780444</w:t>
      </w:r>
    </w:p>
    <w:p w:rsidR="0080080F" w:rsidRPr="00445013" w:rsidRDefault="0080080F" w:rsidP="0048597F">
      <w:pPr>
        <w:jc w:val="both"/>
        <w:rPr>
          <w:rStyle w:val="a5"/>
          <w:rFonts w:eastAsiaTheme="minorHAnsi" w:cs="Times New Roman"/>
          <w:kern w:val="0"/>
          <w:lang w:eastAsia="en-US"/>
        </w:rPr>
      </w:pPr>
      <w:r w:rsidRPr="00445013">
        <w:rPr>
          <w:rFonts w:eastAsiaTheme="minorHAnsi" w:cs="Times New Roman"/>
          <w:kern w:val="0"/>
          <w:lang w:eastAsia="en-US"/>
        </w:rPr>
        <w:t>E-</w:t>
      </w:r>
      <w:proofErr w:type="spellStart"/>
      <w:r w:rsidRPr="00445013">
        <w:rPr>
          <w:rFonts w:eastAsiaTheme="minorHAnsi" w:cs="Times New Roman"/>
          <w:kern w:val="0"/>
          <w:lang w:eastAsia="en-US"/>
        </w:rPr>
        <w:t>mail</w:t>
      </w:r>
      <w:proofErr w:type="spellEnd"/>
      <w:r w:rsidRPr="00445013">
        <w:rPr>
          <w:rFonts w:eastAsiaTheme="minorHAnsi" w:cs="Times New Roman"/>
          <w:kern w:val="0"/>
          <w:lang w:eastAsia="en-US"/>
        </w:rPr>
        <w:t xml:space="preserve">: </w:t>
      </w:r>
      <w:hyperlink r:id="rId7" w:history="1">
        <w:r w:rsidR="00C9554B" w:rsidRPr="00445013">
          <w:rPr>
            <w:rStyle w:val="a5"/>
            <w:rFonts w:eastAsiaTheme="minorHAnsi" w:cs="Times New Roman"/>
            <w:kern w:val="0"/>
            <w:lang w:eastAsia="en-US"/>
          </w:rPr>
          <w:t>2792240@mail.ru</w:t>
        </w:r>
      </w:hyperlink>
    </w:p>
    <w:p w:rsidR="00D53757" w:rsidRPr="00980552" w:rsidRDefault="00D53757" w:rsidP="0048597F">
      <w:pPr>
        <w:jc w:val="both"/>
        <w:rPr>
          <w:rFonts w:eastAsiaTheme="minorHAnsi" w:cs="Times New Roman"/>
          <w:kern w:val="0"/>
          <w:sz w:val="22"/>
          <w:szCs w:val="22"/>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61"/>
        <w:gridCol w:w="1134"/>
        <w:gridCol w:w="821"/>
        <w:gridCol w:w="1305"/>
        <w:gridCol w:w="1418"/>
      </w:tblGrid>
      <w:tr w:rsidR="0098596C" w:rsidRPr="0085067F" w:rsidTr="00317477">
        <w:trPr>
          <w:trHeight w:val="570"/>
        </w:trPr>
        <w:tc>
          <w:tcPr>
            <w:tcW w:w="668" w:type="dxa"/>
            <w:shd w:val="clear" w:color="000000" w:fill="FFFFFF"/>
            <w:noWrap/>
            <w:vAlign w:val="center"/>
            <w:hideMark/>
          </w:tcPr>
          <w:p w:rsidR="0098596C" w:rsidRPr="0085067F" w:rsidRDefault="0098596C" w:rsidP="00194E07">
            <w:pPr>
              <w:jc w:val="center"/>
              <w:rPr>
                <w:rFonts w:cs="Times New Roman"/>
                <w:b/>
                <w:sz w:val="22"/>
                <w:szCs w:val="22"/>
              </w:rPr>
            </w:pPr>
            <w:r w:rsidRPr="0085067F">
              <w:rPr>
                <w:rFonts w:cs="Times New Roman"/>
                <w:b/>
                <w:sz w:val="22"/>
                <w:szCs w:val="22"/>
              </w:rPr>
              <w:t>№</w:t>
            </w:r>
          </w:p>
          <w:p w:rsidR="0098596C" w:rsidRPr="0085067F" w:rsidRDefault="0098596C" w:rsidP="00194E07">
            <w:pPr>
              <w:jc w:val="center"/>
              <w:rPr>
                <w:rFonts w:cs="Times New Roman"/>
                <w:b/>
                <w:sz w:val="22"/>
                <w:szCs w:val="22"/>
              </w:rPr>
            </w:pPr>
            <w:r w:rsidRPr="0085067F">
              <w:rPr>
                <w:rFonts w:cs="Times New Roman"/>
                <w:b/>
                <w:sz w:val="22"/>
                <w:szCs w:val="22"/>
              </w:rPr>
              <w:t>лота</w:t>
            </w:r>
          </w:p>
        </w:tc>
        <w:tc>
          <w:tcPr>
            <w:tcW w:w="4861" w:type="dxa"/>
            <w:shd w:val="clear" w:color="000000" w:fill="FFFFFF"/>
            <w:vAlign w:val="center"/>
            <w:hideMark/>
          </w:tcPr>
          <w:p w:rsidR="0098596C" w:rsidRPr="0085067F" w:rsidRDefault="0098596C" w:rsidP="00194E07">
            <w:pPr>
              <w:jc w:val="center"/>
              <w:rPr>
                <w:rFonts w:cs="Times New Roman"/>
                <w:b/>
                <w:sz w:val="22"/>
                <w:szCs w:val="22"/>
              </w:rPr>
            </w:pPr>
            <w:r w:rsidRPr="0085067F">
              <w:rPr>
                <w:rFonts w:cs="Times New Roman"/>
                <w:b/>
                <w:sz w:val="22"/>
                <w:szCs w:val="22"/>
              </w:rPr>
              <w:t>Наименование</w:t>
            </w:r>
          </w:p>
        </w:tc>
        <w:tc>
          <w:tcPr>
            <w:tcW w:w="1134" w:type="dxa"/>
            <w:shd w:val="clear" w:color="000000" w:fill="FFFFFF"/>
            <w:vAlign w:val="center"/>
            <w:hideMark/>
          </w:tcPr>
          <w:p w:rsidR="0098596C" w:rsidRPr="0085067F" w:rsidRDefault="0098596C" w:rsidP="00194E07">
            <w:pPr>
              <w:jc w:val="center"/>
              <w:rPr>
                <w:rFonts w:cs="Times New Roman"/>
                <w:b/>
                <w:sz w:val="22"/>
                <w:szCs w:val="22"/>
              </w:rPr>
            </w:pPr>
          </w:p>
          <w:p w:rsidR="0098596C" w:rsidRPr="0085067F" w:rsidRDefault="0098596C" w:rsidP="00194E07">
            <w:pPr>
              <w:jc w:val="center"/>
              <w:rPr>
                <w:rFonts w:cs="Times New Roman"/>
                <w:b/>
                <w:sz w:val="22"/>
                <w:szCs w:val="22"/>
              </w:rPr>
            </w:pPr>
            <w:r w:rsidRPr="0085067F">
              <w:rPr>
                <w:rFonts w:cs="Times New Roman"/>
                <w:b/>
                <w:sz w:val="22"/>
                <w:szCs w:val="22"/>
              </w:rPr>
              <w:t>Ед. измерения</w:t>
            </w:r>
          </w:p>
        </w:tc>
        <w:tc>
          <w:tcPr>
            <w:tcW w:w="821" w:type="dxa"/>
            <w:shd w:val="clear" w:color="000000" w:fill="FFFFFF"/>
            <w:vAlign w:val="center"/>
            <w:hideMark/>
          </w:tcPr>
          <w:p w:rsidR="0098596C" w:rsidRPr="0085067F" w:rsidRDefault="0098596C" w:rsidP="00194E07">
            <w:pPr>
              <w:jc w:val="center"/>
              <w:rPr>
                <w:rFonts w:cs="Times New Roman"/>
                <w:b/>
                <w:sz w:val="22"/>
                <w:szCs w:val="22"/>
              </w:rPr>
            </w:pPr>
            <w:r w:rsidRPr="0085067F">
              <w:rPr>
                <w:rFonts w:cs="Times New Roman"/>
                <w:b/>
                <w:sz w:val="22"/>
                <w:szCs w:val="22"/>
              </w:rPr>
              <w:t>Кол-во</w:t>
            </w:r>
          </w:p>
        </w:tc>
        <w:tc>
          <w:tcPr>
            <w:tcW w:w="1305" w:type="dxa"/>
            <w:shd w:val="clear" w:color="000000" w:fill="FFFFFF"/>
            <w:vAlign w:val="center"/>
            <w:hideMark/>
          </w:tcPr>
          <w:p w:rsidR="0098596C" w:rsidRPr="0085067F" w:rsidRDefault="0098596C" w:rsidP="00194E07">
            <w:pPr>
              <w:jc w:val="center"/>
              <w:rPr>
                <w:rFonts w:cs="Times New Roman"/>
                <w:b/>
                <w:sz w:val="22"/>
                <w:szCs w:val="22"/>
              </w:rPr>
            </w:pPr>
            <w:r w:rsidRPr="0085067F">
              <w:rPr>
                <w:rFonts w:cs="Times New Roman"/>
                <w:b/>
                <w:sz w:val="22"/>
                <w:szCs w:val="22"/>
              </w:rPr>
              <w:t>Цена за единицу по лоту</w:t>
            </w:r>
          </w:p>
        </w:tc>
        <w:tc>
          <w:tcPr>
            <w:tcW w:w="1418" w:type="dxa"/>
            <w:shd w:val="clear" w:color="000000" w:fill="FFFFFF"/>
            <w:vAlign w:val="center"/>
            <w:hideMark/>
          </w:tcPr>
          <w:p w:rsidR="0098596C" w:rsidRPr="0085067F" w:rsidRDefault="0098596C" w:rsidP="00194E07">
            <w:pPr>
              <w:jc w:val="center"/>
              <w:rPr>
                <w:rFonts w:cs="Times New Roman"/>
                <w:b/>
                <w:sz w:val="22"/>
                <w:szCs w:val="22"/>
              </w:rPr>
            </w:pPr>
            <w:r w:rsidRPr="0085067F">
              <w:rPr>
                <w:rFonts w:cs="Times New Roman"/>
                <w:b/>
                <w:sz w:val="22"/>
                <w:szCs w:val="22"/>
              </w:rPr>
              <w:t>Выделенная сумма</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1</w:t>
            </w:r>
          </w:p>
        </w:tc>
        <w:tc>
          <w:tcPr>
            <w:tcW w:w="4861" w:type="dxa"/>
            <w:shd w:val="clear" w:color="000000" w:fill="FFFFFF"/>
          </w:tcPr>
          <w:p w:rsidR="0085067F" w:rsidRPr="0085067F" w:rsidRDefault="0085067F">
            <w:pPr>
              <w:rPr>
                <w:rFonts w:cs="Times New Roman"/>
                <w:sz w:val="22"/>
                <w:szCs w:val="22"/>
                <w:lang w:eastAsia="en-US"/>
              </w:rPr>
            </w:pPr>
            <w:proofErr w:type="gramStart"/>
            <w:r w:rsidRPr="0085067F">
              <w:rPr>
                <w:rFonts w:cs="Times New Roman"/>
                <w:sz w:val="22"/>
                <w:szCs w:val="22"/>
              </w:rPr>
              <w:t xml:space="preserve">Фильтр дыхательный </w:t>
            </w:r>
            <w:proofErr w:type="spellStart"/>
            <w:r w:rsidRPr="0085067F">
              <w:rPr>
                <w:rFonts w:cs="Times New Roman"/>
                <w:sz w:val="22"/>
                <w:szCs w:val="22"/>
              </w:rPr>
              <w:t>вирусобактериальный</w:t>
            </w:r>
            <w:proofErr w:type="spellEnd"/>
            <w:r w:rsidRPr="0085067F">
              <w:rPr>
                <w:rFonts w:cs="Times New Roman"/>
                <w:sz w:val="22"/>
                <w:szCs w:val="22"/>
              </w:rPr>
              <w:t xml:space="preserve"> электростатический для защиты пациента, персонала, аппаратуры в дыхательных и анестезиологических контурах, для взрослых </w:t>
            </w:r>
            <w:proofErr w:type="spellStart"/>
            <w:r w:rsidRPr="0085067F">
              <w:rPr>
                <w:rFonts w:cs="Times New Roman"/>
                <w:sz w:val="22"/>
                <w:szCs w:val="22"/>
              </w:rPr>
              <w:t>Clear-Guard</w:t>
            </w:r>
            <w:proofErr w:type="spellEnd"/>
            <w:r w:rsidRPr="0085067F">
              <w:rPr>
                <w:rFonts w:cs="Times New Roman"/>
                <w:sz w:val="22"/>
                <w:szCs w:val="22"/>
              </w:rPr>
              <w:t xml:space="preserve"> </w:t>
            </w:r>
            <w:proofErr w:type="spellStart"/>
            <w:r w:rsidRPr="0085067F">
              <w:rPr>
                <w:rFonts w:cs="Times New Roman"/>
                <w:sz w:val="22"/>
                <w:szCs w:val="22"/>
              </w:rPr>
              <w:t>Midi</w:t>
            </w:r>
            <w:proofErr w:type="spellEnd"/>
            <w:r w:rsidRPr="0085067F">
              <w:rPr>
                <w:rFonts w:cs="Times New Roman"/>
                <w:sz w:val="22"/>
                <w:szCs w:val="22"/>
              </w:rPr>
              <w:t xml:space="preserve"> с портом </w:t>
            </w:r>
            <w:proofErr w:type="spellStart"/>
            <w:r w:rsidRPr="0085067F">
              <w:rPr>
                <w:rFonts w:cs="Times New Roman"/>
                <w:sz w:val="22"/>
                <w:szCs w:val="22"/>
              </w:rPr>
              <w:t>Луер</w:t>
            </w:r>
            <w:proofErr w:type="spellEnd"/>
            <w:r w:rsidRPr="0085067F">
              <w:rPr>
                <w:rFonts w:cs="Times New Roman"/>
                <w:sz w:val="22"/>
                <w:szCs w:val="22"/>
              </w:rPr>
              <w:t xml:space="preserve"> </w:t>
            </w:r>
            <w:proofErr w:type="spellStart"/>
            <w:r w:rsidRPr="0085067F">
              <w:rPr>
                <w:rFonts w:cs="Times New Roman"/>
                <w:sz w:val="22"/>
                <w:szCs w:val="22"/>
              </w:rPr>
              <w:t>Лок</w:t>
            </w:r>
            <w:proofErr w:type="spellEnd"/>
            <w:r w:rsidRPr="0085067F">
              <w:rPr>
                <w:rFonts w:cs="Times New Roman"/>
                <w:sz w:val="22"/>
                <w:szCs w:val="22"/>
              </w:rPr>
              <w:t xml:space="preserve"> с герметизирующей заглушкой, с </w:t>
            </w:r>
            <w:proofErr w:type="spellStart"/>
            <w:r w:rsidRPr="0085067F">
              <w:rPr>
                <w:rFonts w:cs="Times New Roman"/>
                <w:sz w:val="22"/>
                <w:szCs w:val="22"/>
              </w:rPr>
              <w:t>антиокклюзионным</w:t>
            </w:r>
            <w:proofErr w:type="spellEnd"/>
            <w:r w:rsidRPr="0085067F">
              <w:rPr>
                <w:rFonts w:cs="Times New Roman"/>
                <w:sz w:val="22"/>
                <w:szCs w:val="22"/>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w:t>
            </w:r>
            <w:proofErr w:type="gramEnd"/>
            <w:r w:rsidRPr="0085067F">
              <w:rPr>
                <w:rFonts w:cs="Times New Roman"/>
                <w:sz w:val="22"/>
                <w:szCs w:val="22"/>
              </w:rPr>
              <w:t xml:space="preserve"> не более 19 г, минимальный дыхательный объем не менее 100мл. Материал: полипропилен, акрил, керамика. Упаковка: индивидуальная, клинически чистая, 100шт. Срок годности (срок гарантии): 5 лет от даты изготовления</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2000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1 100,00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2 200 000,00</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2</w:t>
            </w:r>
          </w:p>
        </w:tc>
        <w:tc>
          <w:tcPr>
            <w:tcW w:w="4861" w:type="dxa"/>
            <w:shd w:val="clear" w:color="000000" w:fill="FFFFFF"/>
          </w:tcPr>
          <w:p w:rsidR="0085067F" w:rsidRPr="0085067F" w:rsidRDefault="0085067F">
            <w:pPr>
              <w:rPr>
                <w:rFonts w:cs="Times New Roman"/>
                <w:sz w:val="22"/>
                <w:szCs w:val="22"/>
                <w:lang w:eastAsia="en-US"/>
              </w:rPr>
            </w:pPr>
            <w:proofErr w:type="gramStart"/>
            <w:r w:rsidRPr="0085067F">
              <w:rPr>
                <w:rFonts w:cs="Times New Roman"/>
                <w:sz w:val="22"/>
                <w:szCs w:val="22"/>
              </w:rPr>
              <w:t xml:space="preserve">Фильтр дыхательный </w:t>
            </w:r>
            <w:proofErr w:type="spellStart"/>
            <w:r w:rsidRPr="0085067F">
              <w:rPr>
                <w:rFonts w:cs="Times New Roman"/>
                <w:sz w:val="22"/>
                <w:szCs w:val="22"/>
              </w:rPr>
              <w:t>вирусобактериальный</w:t>
            </w:r>
            <w:proofErr w:type="spellEnd"/>
            <w:r w:rsidRPr="0085067F">
              <w:rPr>
                <w:rFonts w:cs="Times New Roman"/>
                <w:sz w:val="22"/>
                <w:szCs w:val="22"/>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детей и новорожденных  с портом </w:t>
            </w:r>
            <w:proofErr w:type="spellStart"/>
            <w:r w:rsidRPr="0085067F">
              <w:rPr>
                <w:rFonts w:cs="Times New Roman"/>
                <w:sz w:val="22"/>
                <w:szCs w:val="22"/>
              </w:rPr>
              <w:t>Луер</w:t>
            </w:r>
            <w:proofErr w:type="spellEnd"/>
            <w:r w:rsidRPr="0085067F">
              <w:rPr>
                <w:rFonts w:cs="Times New Roman"/>
                <w:sz w:val="22"/>
                <w:szCs w:val="22"/>
              </w:rPr>
              <w:t xml:space="preserve"> </w:t>
            </w:r>
            <w:proofErr w:type="spellStart"/>
            <w:r w:rsidRPr="0085067F">
              <w:rPr>
                <w:rFonts w:cs="Times New Roman"/>
                <w:sz w:val="22"/>
                <w:szCs w:val="22"/>
              </w:rPr>
              <w:t>Лок</w:t>
            </w:r>
            <w:proofErr w:type="spellEnd"/>
            <w:r w:rsidRPr="0085067F">
              <w:rPr>
                <w:rFonts w:cs="Times New Roman"/>
                <w:sz w:val="22"/>
                <w:szCs w:val="22"/>
              </w:rPr>
              <w:t xml:space="preserve"> с герметизирующим  колпачком, с проксимально расположенной HMEF мембраной, с </w:t>
            </w:r>
            <w:proofErr w:type="spellStart"/>
            <w:r w:rsidRPr="0085067F">
              <w:rPr>
                <w:rFonts w:cs="Times New Roman"/>
                <w:sz w:val="22"/>
                <w:szCs w:val="22"/>
              </w:rPr>
              <w:t>антиокклюзионным</w:t>
            </w:r>
            <w:proofErr w:type="spellEnd"/>
            <w:r w:rsidRPr="0085067F">
              <w:rPr>
                <w:rFonts w:cs="Times New Roman"/>
                <w:sz w:val="22"/>
                <w:szCs w:val="22"/>
              </w:rPr>
              <w:t xml:space="preserve"> механизмом, с внутренними ламелями и диффузором распределения потока, соединение 22F/15M - 22M/15F, эффективность фильтрации не менее 99,99 %, сопротивление потоку</w:t>
            </w:r>
            <w:proofErr w:type="gramEnd"/>
            <w:r w:rsidRPr="0085067F">
              <w:rPr>
                <w:rFonts w:cs="Times New Roman"/>
                <w:sz w:val="22"/>
                <w:szCs w:val="22"/>
              </w:rPr>
              <w:t xml:space="preserve"> (</w:t>
            </w:r>
            <w:proofErr w:type="gramStart"/>
            <w:r w:rsidRPr="0085067F">
              <w:rPr>
                <w:rFonts w:cs="Times New Roman"/>
                <w:sz w:val="22"/>
                <w:szCs w:val="22"/>
              </w:rPr>
              <w:t xml:space="preserve">30л/мин) не более 1,0см H20, возврат влаги не менее 23 мг </w:t>
            </w:r>
            <w:r w:rsidRPr="0085067F">
              <w:rPr>
                <w:rFonts w:cs="Times New Roman"/>
                <w:sz w:val="22"/>
                <w:szCs w:val="22"/>
              </w:rPr>
              <w:lastRenderedPageBreak/>
              <w:t>Н2О/л, объем не более 34мл, масса не более 19г, минимальный дыхательный объем 100мл.</w:t>
            </w:r>
            <w:proofErr w:type="gramEnd"/>
            <w:r w:rsidRPr="0085067F">
              <w:rPr>
                <w:rFonts w:cs="Times New Roman"/>
                <w:sz w:val="22"/>
                <w:szCs w:val="22"/>
              </w:rPr>
              <w:t xml:space="preserve"> Эффективное время работы 24 часа. Материал: полипропилен, акрил, керамика. Упаковка: индивидуальная, клинически чистая, 75шт. Срок годности (срок гарантии): 5 лет от даты изготовления.</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proofErr w:type="gramStart"/>
            <w:r w:rsidRPr="0085067F">
              <w:rPr>
                <w:rFonts w:cs="Times New Roman"/>
                <w:sz w:val="22"/>
                <w:szCs w:val="22"/>
              </w:rPr>
              <w:lastRenderedPageBreak/>
              <w:t>ш</w:t>
            </w:r>
            <w:proofErr w:type="gramEnd"/>
            <w:r w:rsidRPr="0085067F">
              <w:rPr>
                <w:rFonts w:cs="Times New Roman"/>
                <w:sz w:val="22"/>
                <w:szCs w:val="22"/>
              </w:rPr>
              <w:t>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100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1 500,00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150 000,00</w:t>
            </w:r>
          </w:p>
        </w:tc>
      </w:tr>
      <w:tr w:rsidR="0085067F" w:rsidRPr="0085067F" w:rsidTr="0085067F">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lastRenderedPageBreak/>
              <w:t>3</w:t>
            </w:r>
          </w:p>
        </w:tc>
        <w:tc>
          <w:tcPr>
            <w:tcW w:w="4861" w:type="dxa"/>
            <w:shd w:val="clear" w:color="000000" w:fill="FFFFFF"/>
          </w:tcPr>
          <w:p w:rsidR="0085067F" w:rsidRPr="0085067F" w:rsidRDefault="0085067F">
            <w:pPr>
              <w:spacing w:after="200"/>
              <w:rPr>
                <w:rFonts w:cs="Times New Roman"/>
                <w:sz w:val="22"/>
                <w:szCs w:val="22"/>
                <w:lang w:eastAsia="en-US"/>
              </w:rPr>
            </w:pPr>
            <w:proofErr w:type="spellStart"/>
            <w:r w:rsidRPr="0085067F">
              <w:rPr>
                <w:rFonts w:cs="Times New Roman"/>
                <w:sz w:val="22"/>
                <w:szCs w:val="22"/>
              </w:rPr>
              <w:t>Эндотрахеальная</w:t>
            </w:r>
            <w:proofErr w:type="spellEnd"/>
            <w:r w:rsidRPr="0085067F">
              <w:rPr>
                <w:rFonts w:cs="Times New Roman"/>
                <w:sz w:val="22"/>
                <w:szCs w:val="22"/>
              </w:rPr>
              <w:t xml:space="preserve"> трубка с манжетой. Размеры от 4,0 до 8,5 по заявке Заказчика</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2500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290,00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725 000,00</w:t>
            </w:r>
          </w:p>
        </w:tc>
      </w:tr>
      <w:tr w:rsidR="0085067F" w:rsidRPr="0085067F" w:rsidTr="0085067F">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4</w:t>
            </w:r>
          </w:p>
        </w:tc>
        <w:tc>
          <w:tcPr>
            <w:tcW w:w="4861" w:type="dxa"/>
            <w:shd w:val="clear" w:color="000000" w:fill="FFFFFF"/>
          </w:tcPr>
          <w:p w:rsidR="0085067F" w:rsidRPr="0085067F" w:rsidRDefault="0085067F">
            <w:pPr>
              <w:rPr>
                <w:rFonts w:cs="Times New Roman"/>
                <w:sz w:val="22"/>
                <w:szCs w:val="22"/>
                <w:lang w:eastAsia="en-US"/>
              </w:rPr>
            </w:pPr>
            <w:r w:rsidRPr="0085067F">
              <w:rPr>
                <w:rFonts w:cs="Times New Roman"/>
                <w:sz w:val="22"/>
                <w:szCs w:val="22"/>
              </w:rPr>
              <w:t xml:space="preserve">Маска  кислородная для детей для </w:t>
            </w:r>
            <w:proofErr w:type="spellStart"/>
            <w:r w:rsidRPr="0085067F">
              <w:rPr>
                <w:rFonts w:cs="Times New Roman"/>
                <w:sz w:val="22"/>
                <w:szCs w:val="22"/>
              </w:rPr>
              <w:t>кислородотерапии</w:t>
            </w:r>
            <w:proofErr w:type="spellEnd"/>
            <w:r w:rsidRPr="0085067F">
              <w:rPr>
                <w:rFonts w:cs="Times New Roman"/>
                <w:sz w:val="22"/>
                <w:szCs w:val="22"/>
              </w:rPr>
              <w:t xml:space="preserve">  средней концентрации (для потока 5л/мин-35%, 6л/мин-40%, 8л/мин-50%).  Корпус маски выполнен по анатомической схеме с уникальной изогнутой в виде гребня конструкцией носовой </w:t>
            </w:r>
            <w:proofErr w:type="gramStart"/>
            <w:r w:rsidRPr="0085067F">
              <w:rPr>
                <w:rFonts w:cs="Times New Roman"/>
                <w:sz w:val="22"/>
                <w:szCs w:val="22"/>
              </w:rPr>
              <w:t>части</w:t>
            </w:r>
            <w:proofErr w:type="gramEnd"/>
            <w:r w:rsidRPr="0085067F">
              <w:rPr>
                <w:rFonts w:cs="Times New Roman"/>
                <w:sz w:val="22"/>
                <w:szCs w:val="22"/>
              </w:rPr>
              <w:t xml:space="preserve"> обеспечивающий минимальное «мёртвое пространство» и одновременно конструкция этой части маски придаёт требуемое расположение встроенной манжеты в области носа пациента. Гребневидная носовая часть маски в случае возможной утечки </w:t>
            </w:r>
            <w:proofErr w:type="gramStart"/>
            <w:r w:rsidRPr="0085067F">
              <w:rPr>
                <w:rFonts w:cs="Times New Roman"/>
                <w:sz w:val="22"/>
                <w:szCs w:val="22"/>
              </w:rPr>
              <w:t>из</w:t>
            </w:r>
            <w:proofErr w:type="gramEnd"/>
            <w:r w:rsidRPr="0085067F">
              <w:rPr>
                <w:rFonts w:cs="Times New Roman"/>
                <w:sz w:val="22"/>
                <w:szCs w:val="22"/>
              </w:rPr>
              <w:t xml:space="preserve"> </w:t>
            </w:r>
            <w:proofErr w:type="gramStart"/>
            <w:r w:rsidRPr="0085067F">
              <w:rPr>
                <w:rFonts w:cs="Times New Roman"/>
                <w:sz w:val="22"/>
                <w:szCs w:val="22"/>
              </w:rPr>
              <w:t>под</w:t>
            </w:r>
            <w:proofErr w:type="gramEnd"/>
            <w:r w:rsidRPr="0085067F">
              <w:rPr>
                <w:rFonts w:cs="Times New Roman"/>
                <w:sz w:val="22"/>
                <w:szCs w:val="22"/>
              </w:rPr>
              <w:t xml:space="preserve"> манжеты исключает попадание струи  кислорода в глаза пациента. </w:t>
            </w:r>
            <w:proofErr w:type="spellStart"/>
            <w:r w:rsidRPr="0085067F">
              <w:rPr>
                <w:rFonts w:cs="Times New Roman"/>
                <w:sz w:val="22"/>
                <w:szCs w:val="22"/>
              </w:rPr>
              <w:t>Атравматичная</w:t>
            </w:r>
            <w:proofErr w:type="spellEnd"/>
            <w:r w:rsidRPr="0085067F">
              <w:rPr>
                <w:rFonts w:cs="Times New Roman"/>
                <w:sz w:val="22"/>
                <w:szCs w:val="22"/>
              </w:rPr>
              <w:t xml:space="preserve"> манжета анатомического рельефа плоская профилированная, расширяющаяся под подбородок для прилегающего охвата подбородка при наложении на лицо пациента. Подбородочная часть манжеты выполнена по двухступенчатой схеме - «под подбородок» и «на подбородок», обеспечивающей герметизацию при прилегании к лицам пациентов различной анатомии. Манжета в носовой части имеет поперечное внутренне армирование, которое обеспечивает плотное, но не </w:t>
            </w:r>
            <w:proofErr w:type="spellStart"/>
            <w:r w:rsidRPr="0085067F">
              <w:rPr>
                <w:rFonts w:cs="Times New Roman"/>
                <w:sz w:val="22"/>
                <w:szCs w:val="22"/>
              </w:rPr>
              <w:t>травматичное</w:t>
            </w:r>
            <w:proofErr w:type="spellEnd"/>
            <w:r w:rsidRPr="0085067F">
              <w:rPr>
                <w:rFonts w:cs="Times New Roman"/>
                <w:sz w:val="22"/>
                <w:szCs w:val="22"/>
              </w:rPr>
              <w:t xml:space="preserve"> прилегание в наиболее сложной части лица по анатомическому строению. </w:t>
            </w:r>
            <w:proofErr w:type="spellStart"/>
            <w:r w:rsidRPr="0085067F">
              <w:rPr>
                <w:rFonts w:cs="Times New Roman"/>
                <w:sz w:val="22"/>
                <w:szCs w:val="22"/>
              </w:rPr>
              <w:t>Эластомерный</w:t>
            </w:r>
            <w:proofErr w:type="spellEnd"/>
            <w:r w:rsidRPr="0085067F">
              <w:rPr>
                <w:rFonts w:cs="Times New Roman"/>
                <w:sz w:val="22"/>
                <w:szCs w:val="22"/>
              </w:rPr>
              <w:t xml:space="preserve"> держатель проводится как «под ушами» - не травмируется верхняя часть уха, так и «под ушами» в зависимости от анатомических особенностей головы пациента</w:t>
            </w:r>
            <w:proofErr w:type="gramStart"/>
            <w:r w:rsidRPr="0085067F">
              <w:rPr>
                <w:rFonts w:cs="Times New Roman"/>
                <w:sz w:val="22"/>
                <w:szCs w:val="22"/>
              </w:rPr>
              <w:t>.</w:t>
            </w:r>
            <w:proofErr w:type="gramEnd"/>
            <w:r w:rsidRPr="0085067F">
              <w:rPr>
                <w:rFonts w:cs="Times New Roman"/>
                <w:sz w:val="22"/>
                <w:szCs w:val="22"/>
              </w:rPr>
              <w:t xml:space="preserve"> </w:t>
            </w:r>
            <w:proofErr w:type="gramStart"/>
            <w:r w:rsidRPr="0085067F">
              <w:rPr>
                <w:rFonts w:cs="Times New Roman"/>
                <w:sz w:val="22"/>
                <w:szCs w:val="22"/>
              </w:rPr>
              <w:t>с</w:t>
            </w:r>
            <w:proofErr w:type="gramEnd"/>
            <w:r w:rsidRPr="0085067F">
              <w:rPr>
                <w:rFonts w:cs="Times New Roman"/>
                <w:sz w:val="22"/>
                <w:szCs w:val="22"/>
              </w:rPr>
              <w:t xml:space="preserve"> </w:t>
            </w:r>
            <w:proofErr w:type="spellStart"/>
            <w:r w:rsidRPr="0085067F">
              <w:rPr>
                <w:rFonts w:cs="Times New Roman"/>
                <w:sz w:val="22"/>
                <w:szCs w:val="22"/>
              </w:rPr>
              <w:t>смесеобразующими</w:t>
            </w:r>
            <w:proofErr w:type="spellEnd"/>
            <w:r w:rsidRPr="0085067F">
              <w:rPr>
                <w:rFonts w:cs="Times New Roman"/>
                <w:sz w:val="22"/>
                <w:szCs w:val="22"/>
              </w:rPr>
              <w:t xml:space="preserve"> отверстиями симметричными  продольно профилированными лицевыми и подбородочными. Маска с кислородной </w:t>
            </w:r>
            <w:proofErr w:type="spellStart"/>
            <w:r w:rsidRPr="0085067F">
              <w:rPr>
                <w:rFonts w:cs="Times New Roman"/>
                <w:sz w:val="22"/>
                <w:szCs w:val="22"/>
              </w:rPr>
              <w:t>продольноармированной</w:t>
            </w:r>
            <w:proofErr w:type="spellEnd"/>
            <w:r w:rsidRPr="0085067F">
              <w:rPr>
                <w:rFonts w:cs="Times New Roman"/>
                <w:sz w:val="22"/>
                <w:szCs w:val="22"/>
              </w:rPr>
              <w:t xml:space="preserve"> трубкой 2,1м. Материал: полипропилен, полиэтилен. Без ПВХ. Упаковка: индивидуальная, клинически чистая/</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10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1 700,00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17 000,00</w:t>
            </w:r>
          </w:p>
        </w:tc>
      </w:tr>
      <w:tr w:rsidR="0085067F" w:rsidRPr="0085067F" w:rsidTr="0085067F">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5</w:t>
            </w:r>
          </w:p>
        </w:tc>
        <w:tc>
          <w:tcPr>
            <w:tcW w:w="4861" w:type="dxa"/>
            <w:shd w:val="clear" w:color="000000" w:fill="FFFFFF"/>
          </w:tcPr>
          <w:p w:rsidR="0085067F" w:rsidRPr="0085067F" w:rsidRDefault="0085067F">
            <w:pPr>
              <w:rPr>
                <w:rFonts w:cs="Times New Roman"/>
                <w:color w:val="000000"/>
                <w:sz w:val="22"/>
                <w:szCs w:val="22"/>
                <w:lang w:eastAsia="en-US"/>
              </w:rPr>
            </w:pPr>
            <w:r w:rsidRPr="0085067F">
              <w:rPr>
                <w:rFonts w:cs="Times New Roman"/>
                <w:color w:val="000000"/>
                <w:sz w:val="22"/>
                <w:szCs w:val="22"/>
              </w:rPr>
              <w:t xml:space="preserve">Маска дыхательного контура анестезиологическая лицевая для проведения масочного наркоза и </w:t>
            </w:r>
            <w:proofErr w:type="spellStart"/>
            <w:r w:rsidRPr="0085067F">
              <w:rPr>
                <w:rFonts w:cs="Times New Roman"/>
                <w:color w:val="000000"/>
                <w:sz w:val="22"/>
                <w:szCs w:val="22"/>
              </w:rPr>
              <w:t>неинвазивной</w:t>
            </w:r>
            <w:proofErr w:type="spellEnd"/>
            <w:r w:rsidRPr="0085067F">
              <w:rPr>
                <w:rFonts w:cs="Times New Roman"/>
                <w:color w:val="000000"/>
                <w:sz w:val="22"/>
                <w:szCs w:val="22"/>
              </w:rPr>
              <w:t xml:space="preserve"> искусственной вентиляции лёгких, в том числе с системами для ручного искусственного дыхания. Анестезиологическая маска размеры 1-6 анатомической формы.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с эластичной полусферической манжетой со </w:t>
            </w:r>
            <w:r w:rsidRPr="0085067F">
              <w:rPr>
                <w:rFonts w:cs="Times New Roman"/>
                <w:color w:val="000000"/>
                <w:sz w:val="22"/>
                <w:szCs w:val="22"/>
              </w:rPr>
              <w:lastRenderedPageBreak/>
              <w:t xml:space="preserve">сложной лепестковой </w:t>
            </w:r>
            <w:proofErr w:type="spellStart"/>
            <w:r w:rsidRPr="0085067F">
              <w:rPr>
                <w:rFonts w:cs="Times New Roman"/>
                <w:color w:val="000000"/>
                <w:sz w:val="22"/>
                <w:szCs w:val="22"/>
              </w:rPr>
              <w:t>кофигурацией</w:t>
            </w:r>
            <w:proofErr w:type="spellEnd"/>
            <w:r w:rsidRPr="0085067F">
              <w:rPr>
                <w:rFonts w:cs="Times New Roman"/>
                <w:color w:val="000000"/>
                <w:sz w:val="22"/>
                <w:szCs w:val="22"/>
              </w:rPr>
              <w:t xml:space="preserve"> в районе </w:t>
            </w:r>
            <w:proofErr w:type="spellStart"/>
            <w:r w:rsidRPr="0085067F">
              <w:rPr>
                <w:rFonts w:cs="Times New Roman"/>
                <w:color w:val="000000"/>
                <w:sz w:val="22"/>
                <w:szCs w:val="22"/>
              </w:rPr>
              <w:t>прлегания</w:t>
            </w:r>
            <w:proofErr w:type="spellEnd"/>
            <w:r w:rsidRPr="0085067F">
              <w:rPr>
                <w:rFonts w:cs="Times New Roman"/>
                <w:color w:val="000000"/>
                <w:sz w:val="22"/>
                <w:szCs w:val="22"/>
              </w:rPr>
              <w:t xml:space="preserve"> к носу, манжета </w:t>
            </w:r>
            <w:proofErr w:type="spellStart"/>
            <w:r w:rsidRPr="0085067F">
              <w:rPr>
                <w:rFonts w:cs="Times New Roman"/>
                <w:color w:val="000000"/>
                <w:sz w:val="22"/>
                <w:szCs w:val="22"/>
              </w:rPr>
              <w:t>поперечноармированна</w:t>
            </w:r>
            <w:proofErr w:type="spellEnd"/>
            <w:r w:rsidRPr="0085067F">
              <w:rPr>
                <w:rFonts w:cs="Times New Roman"/>
                <w:color w:val="000000"/>
                <w:sz w:val="22"/>
                <w:szCs w:val="22"/>
              </w:rPr>
              <w:t xml:space="preserve"> в этой части для обеспечения герметичности.</w:t>
            </w:r>
            <w:proofErr w:type="gramStart"/>
            <w:r w:rsidRPr="0085067F">
              <w:rPr>
                <w:rFonts w:cs="Times New Roman"/>
                <w:color w:val="000000"/>
                <w:sz w:val="22"/>
                <w:szCs w:val="22"/>
              </w:rPr>
              <w:t xml:space="preserve"> ,</w:t>
            </w:r>
            <w:proofErr w:type="gramEnd"/>
            <w:r w:rsidRPr="0085067F">
              <w:rPr>
                <w:rFonts w:cs="Times New Roman"/>
                <w:color w:val="000000"/>
                <w:sz w:val="22"/>
                <w:szCs w:val="22"/>
              </w:rPr>
              <w:t xml:space="preserve"> корпус маски профилирован под "пальцы" для удобства захвата. Соединительный коннектор 22F. Может быть </w:t>
            </w:r>
            <w:proofErr w:type="gramStart"/>
            <w:r w:rsidRPr="0085067F">
              <w:rPr>
                <w:rFonts w:cs="Times New Roman"/>
                <w:color w:val="000000"/>
                <w:sz w:val="22"/>
                <w:szCs w:val="22"/>
              </w:rPr>
              <w:t>укомплектована</w:t>
            </w:r>
            <w:proofErr w:type="gramEnd"/>
            <w:r w:rsidRPr="0085067F">
              <w:rPr>
                <w:rFonts w:cs="Times New Roman"/>
                <w:color w:val="000000"/>
                <w:sz w:val="22"/>
                <w:szCs w:val="22"/>
              </w:rPr>
              <w:t xml:space="preserve"> кольцом </w:t>
            </w:r>
            <w:proofErr w:type="spellStart"/>
            <w:r w:rsidRPr="0085067F">
              <w:rPr>
                <w:rFonts w:cs="Times New Roman"/>
                <w:color w:val="000000"/>
                <w:sz w:val="22"/>
                <w:szCs w:val="22"/>
              </w:rPr>
              <w:t>маскодержателя</w:t>
            </w:r>
            <w:proofErr w:type="spellEnd"/>
            <w:r w:rsidRPr="0085067F">
              <w:rPr>
                <w:rFonts w:cs="Times New Roman"/>
                <w:color w:val="000000"/>
                <w:sz w:val="22"/>
                <w:szCs w:val="22"/>
              </w:rPr>
              <w:t xml:space="preserve">. Материалы: полиэтилен, полипропилен, эластомер. </w:t>
            </w:r>
            <w:proofErr w:type="spellStart"/>
            <w:r w:rsidRPr="0085067F">
              <w:rPr>
                <w:rFonts w:cs="Times New Roman"/>
                <w:color w:val="000000"/>
                <w:sz w:val="22"/>
                <w:szCs w:val="22"/>
              </w:rPr>
              <w:t>Экологична</w:t>
            </w:r>
            <w:proofErr w:type="spellEnd"/>
            <w:r w:rsidRPr="0085067F">
              <w:rPr>
                <w:rFonts w:cs="Times New Roman"/>
                <w:color w:val="000000"/>
                <w:sz w:val="22"/>
                <w:szCs w:val="22"/>
              </w:rPr>
              <w:t xml:space="preserve"> при производстве и утилизации. Упаковка индивидуальная, клинически чистая, 35шт. в упаковке. Срок годности 5 лет от даты изготовления</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lastRenderedPageBreak/>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120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1 000,00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120 000,00</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lastRenderedPageBreak/>
              <w:t>6</w:t>
            </w:r>
          </w:p>
        </w:tc>
        <w:tc>
          <w:tcPr>
            <w:tcW w:w="4861" w:type="dxa"/>
            <w:shd w:val="clear" w:color="000000" w:fill="FFFFFF"/>
          </w:tcPr>
          <w:p w:rsidR="0085067F" w:rsidRPr="0085067F" w:rsidRDefault="0085067F">
            <w:pPr>
              <w:rPr>
                <w:rFonts w:cs="Times New Roman"/>
                <w:sz w:val="22"/>
                <w:szCs w:val="22"/>
                <w:lang w:eastAsia="en-US"/>
              </w:rPr>
            </w:pPr>
            <w:r w:rsidRPr="0085067F">
              <w:rPr>
                <w:rFonts w:cs="Times New Roman"/>
                <w:sz w:val="22"/>
                <w:szCs w:val="22"/>
              </w:rPr>
              <w:t xml:space="preserve">Канюля назальная детская с изогнутыми зубцами, кислородная трубка 2,1 м для длительной и кратковременной подачи кислорода, </w:t>
            </w:r>
            <w:proofErr w:type="gramStart"/>
            <w:r w:rsidRPr="0085067F">
              <w:rPr>
                <w:rFonts w:cs="Times New Roman"/>
                <w:sz w:val="22"/>
                <w:szCs w:val="22"/>
              </w:rPr>
              <w:t>из</w:t>
            </w:r>
            <w:proofErr w:type="gramEnd"/>
            <w:r w:rsidRPr="0085067F">
              <w:rPr>
                <w:rFonts w:cs="Times New Roman"/>
                <w:sz w:val="22"/>
                <w:szCs w:val="22"/>
              </w:rPr>
              <w:t xml:space="preserve"> мягкого ПВХ. Стерильная для однократного  применения, с несминаемым внутренним просветом "звездчатого" сечения, приспособление для фиксации за ушной </w:t>
            </w:r>
            <w:proofErr w:type="spellStart"/>
            <w:r w:rsidRPr="0085067F">
              <w:rPr>
                <w:rFonts w:cs="Times New Roman"/>
                <w:sz w:val="22"/>
                <w:szCs w:val="22"/>
              </w:rPr>
              <w:t>раковиной</w:t>
            </w:r>
            <w:proofErr w:type="gramStart"/>
            <w:r w:rsidRPr="0085067F">
              <w:rPr>
                <w:rFonts w:cs="Times New Roman"/>
                <w:sz w:val="22"/>
                <w:szCs w:val="22"/>
              </w:rPr>
              <w:t>,п</w:t>
            </w:r>
            <w:proofErr w:type="gramEnd"/>
            <w:r w:rsidRPr="0085067F">
              <w:rPr>
                <w:rFonts w:cs="Times New Roman"/>
                <w:sz w:val="22"/>
                <w:szCs w:val="22"/>
              </w:rPr>
              <w:t>рямые</w:t>
            </w:r>
            <w:proofErr w:type="spellEnd"/>
            <w:r w:rsidRPr="0085067F">
              <w:rPr>
                <w:rFonts w:cs="Times New Roman"/>
                <w:sz w:val="22"/>
                <w:szCs w:val="22"/>
              </w:rPr>
              <w:t xml:space="preserve"> и термопластичные носовые зубцы</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150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700,00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105 000,00</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7</w:t>
            </w:r>
          </w:p>
        </w:tc>
        <w:tc>
          <w:tcPr>
            <w:tcW w:w="4861" w:type="dxa"/>
            <w:shd w:val="clear" w:color="000000" w:fill="FFFFFF"/>
          </w:tcPr>
          <w:p w:rsidR="0085067F" w:rsidRPr="0085067F" w:rsidRDefault="0085067F">
            <w:pPr>
              <w:rPr>
                <w:rFonts w:cs="Times New Roman"/>
                <w:sz w:val="22"/>
                <w:szCs w:val="22"/>
                <w:lang w:eastAsia="en-US"/>
              </w:rPr>
            </w:pPr>
            <w:r w:rsidRPr="0085067F">
              <w:rPr>
                <w:rFonts w:cs="Times New Roman"/>
                <w:sz w:val="22"/>
                <w:szCs w:val="22"/>
              </w:rPr>
              <w:t xml:space="preserve">Канюля назальная для взрослых, из </w:t>
            </w:r>
            <w:proofErr w:type="gramStart"/>
            <w:r w:rsidRPr="0085067F">
              <w:rPr>
                <w:rFonts w:cs="Times New Roman"/>
                <w:sz w:val="22"/>
                <w:szCs w:val="22"/>
              </w:rPr>
              <w:t>мягкого</w:t>
            </w:r>
            <w:proofErr w:type="gramEnd"/>
            <w:r w:rsidRPr="0085067F">
              <w:rPr>
                <w:rFonts w:cs="Times New Roman"/>
                <w:sz w:val="22"/>
                <w:szCs w:val="22"/>
              </w:rPr>
              <w:t xml:space="preserve"> ПВХ. Длина 2,1м. Состоит из трубки, которая заканчивается с одной стороны стандартным коннектором для присоединения к источнику кислорода. С </w:t>
            </w:r>
            <w:proofErr w:type="gramStart"/>
            <w:r w:rsidRPr="0085067F">
              <w:rPr>
                <w:rFonts w:cs="Times New Roman"/>
                <w:sz w:val="22"/>
                <w:szCs w:val="22"/>
              </w:rPr>
              <w:t>другой</w:t>
            </w:r>
            <w:proofErr w:type="gramEnd"/>
            <w:r w:rsidRPr="0085067F">
              <w:rPr>
                <w:rFonts w:cs="Times New Roman"/>
                <w:sz w:val="22"/>
                <w:szCs w:val="22"/>
              </w:rPr>
              <w:t xml:space="preserve"> образует петлю. Петля корректируется по размеру с помощью фиксатора. Назальная часть  прозрачная с двумя короткими трубками для фиксации </w:t>
            </w:r>
            <w:proofErr w:type="spellStart"/>
            <w:r w:rsidRPr="0085067F">
              <w:rPr>
                <w:rFonts w:cs="Times New Roman"/>
                <w:sz w:val="22"/>
                <w:szCs w:val="22"/>
              </w:rPr>
              <w:t>канюли</w:t>
            </w:r>
            <w:proofErr w:type="gramStart"/>
            <w:r w:rsidRPr="0085067F">
              <w:rPr>
                <w:rFonts w:cs="Times New Roman"/>
                <w:sz w:val="22"/>
                <w:szCs w:val="22"/>
              </w:rPr>
              <w:t>.Ш</w:t>
            </w:r>
            <w:proofErr w:type="gramEnd"/>
            <w:r w:rsidRPr="0085067F">
              <w:rPr>
                <w:rFonts w:cs="Times New Roman"/>
                <w:sz w:val="22"/>
                <w:szCs w:val="22"/>
              </w:rPr>
              <w:t>ирина</w:t>
            </w:r>
            <w:proofErr w:type="spellEnd"/>
            <w:r w:rsidRPr="0085067F">
              <w:rPr>
                <w:rFonts w:cs="Times New Roman"/>
                <w:sz w:val="22"/>
                <w:szCs w:val="22"/>
              </w:rPr>
              <w:t xml:space="preserve"> между носовыми зубцами 3 мм , длина носовой канюли 45 мм. Имеет звездообразное сечение </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500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700,00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350 000,00</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8</w:t>
            </w:r>
          </w:p>
        </w:tc>
        <w:tc>
          <w:tcPr>
            <w:tcW w:w="4861" w:type="dxa"/>
            <w:shd w:val="clear" w:color="000000" w:fill="FFFFFF"/>
          </w:tcPr>
          <w:p w:rsidR="0085067F" w:rsidRPr="0085067F" w:rsidRDefault="0085067F">
            <w:pPr>
              <w:rPr>
                <w:rFonts w:cs="Times New Roman"/>
                <w:sz w:val="22"/>
                <w:szCs w:val="22"/>
                <w:lang w:eastAsia="en-US"/>
              </w:rPr>
            </w:pPr>
            <w:r w:rsidRPr="0085067F">
              <w:rPr>
                <w:rFonts w:cs="Times New Roman"/>
                <w:sz w:val="22"/>
                <w:szCs w:val="22"/>
              </w:rPr>
              <w:t xml:space="preserve">Набор для проведения </w:t>
            </w:r>
            <w:proofErr w:type="spellStart"/>
            <w:r w:rsidRPr="0085067F">
              <w:rPr>
                <w:rFonts w:cs="Times New Roman"/>
                <w:sz w:val="22"/>
                <w:szCs w:val="22"/>
              </w:rPr>
              <w:t>эпидуральной</w:t>
            </w:r>
            <w:proofErr w:type="spellEnd"/>
            <w:r w:rsidRPr="0085067F">
              <w:rPr>
                <w:rFonts w:cs="Times New Roman"/>
                <w:sz w:val="22"/>
                <w:szCs w:val="22"/>
              </w:rPr>
              <w:t xml:space="preserve"> анестезии, в состав набора входит: </w:t>
            </w:r>
            <w:proofErr w:type="spellStart"/>
            <w:r w:rsidRPr="0085067F">
              <w:rPr>
                <w:rFonts w:cs="Times New Roman"/>
                <w:sz w:val="22"/>
                <w:szCs w:val="22"/>
              </w:rPr>
              <w:t>Эпидуральная</w:t>
            </w:r>
            <w:proofErr w:type="spellEnd"/>
            <w:r w:rsidRPr="0085067F">
              <w:rPr>
                <w:rFonts w:cs="Times New Roman"/>
                <w:sz w:val="22"/>
                <w:szCs w:val="22"/>
              </w:rPr>
              <w:t xml:space="preserve"> игла </w:t>
            </w:r>
            <w:proofErr w:type="spellStart"/>
            <w:r w:rsidRPr="0085067F">
              <w:rPr>
                <w:rFonts w:cs="Times New Roman"/>
                <w:sz w:val="22"/>
                <w:szCs w:val="22"/>
              </w:rPr>
              <w:t>Туохи</w:t>
            </w:r>
            <w:proofErr w:type="spellEnd"/>
            <w:r w:rsidRPr="0085067F">
              <w:rPr>
                <w:rFonts w:cs="Times New Roman"/>
                <w:sz w:val="22"/>
                <w:szCs w:val="22"/>
              </w:rPr>
              <w:t xml:space="preserve"> 18G, наружный диаметр 1.3мм, внутренний диаметр 1.0мм, длина рабочей части 80мм, общая длина 105мм, вытравленная маркировка на игле на уровне 3 см, далее каждый 1 см. Съемные крылья. Наличие несмываемой (выдавленной) маркировки размера иглы на </w:t>
            </w:r>
            <w:proofErr w:type="spellStart"/>
            <w:r w:rsidRPr="0085067F">
              <w:rPr>
                <w:rFonts w:cs="Times New Roman"/>
                <w:sz w:val="22"/>
                <w:szCs w:val="22"/>
              </w:rPr>
              <w:t>мандрене</w:t>
            </w:r>
            <w:proofErr w:type="spellEnd"/>
            <w:r w:rsidRPr="0085067F">
              <w:rPr>
                <w:rFonts w:cs="Times New Roman"/>
                <w:sz w:val="22"/>
                <w:szCs w:val="22"/>
              </w:rPr>
              <w:t xml:space="preserve">. Пластиковый обтуратор, срез которого точно совпадает со срезом дистального конца иглы. </w:t>
            </w:r>
            <w:proofErr w:type="spellStart"/>
            <w:proofErr w:type="gramStart"/>
            <w:r w:rsidRPr="0085067F">
              <w:rPr>
                <w:rFonts w:cs="Times New Roman"/>
                <w:sz w:val="22"/>
                <w:szCs w:val="22"/>
              </w:rPr>
              <w:t>Эпидуральный</w:t>
            </w:r>
            <w:proofErr w:type="spellEnd"/>
            <w:r w:rsidRPr="0085067F">
              <w:rPr>
                <w:rFonts w:cs="Times New Roman"/>
                <w:sz w:val="22"/>
                <w:szCs w:val="22"/>
              </w:rPr>
              <w:t xml:space="preserve">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w:t>
            </w:r>
            <w:proofErr w:type="spellStart"/>
            <w:r w:rsidRPr="0085067F">
              <w:rPr>
                <w:rFonts w:cs="Times New Roman"/>
                <w:sz w:val="22"/>
                <w:szCs w:val="22"/>
              </w:rPr>
              <w:t>Шору</w:t>
            </w:r>
            <w:proofErr w:type="spellEnd"/>
            <w:r w:rsidRPr="0085067F">
              <w:rPr>
                <w:rFonts w:cs="Times New Roman"/>
                <w:sz w:val="22"/>
                <w:szCs w:val="22"/>
              </w:rPr>
              <w:t>, цветовая маркировка кончика и длины с 50 до 150мм каждые 10мм и на 200мм считая от кончика, объем заполнения</w:t>
            </w:r>
            <w:proofErr w:type="gramEnd"/>
            <w:r w:rsidRPr="0085067F">
              <w:rPr>
                <w:rFonts w:cs="Times New Roman"/>
                <w:sz w:val="22"/>
                <w:szCs w:val="22"/>
              </w:rPr>
              <w:t xml:space="preserve"> 0.19мл.  </w:t>
            </w:r>
            <w:proofErr w:type="spellStart"/>
            <w:r w:rsidRPr="0085067F">
              <w:rPr>
                <w:rFonts w:cs="Times New Roman"/>
                <w:sz w:val="22"/>
                <w:szCs w:val="22"/>
              </w:rPr>
              <w:t>Направитель</w:t>
            </w:r>
            <w:proofErr w:type="spellEnd"/>
            <w:r w:rsidRPr="0085067F">
              <w:rPr>
                <w:rFonts w:cs="Times New Roman"/>
                <w:sz w:val="22"/>
                <w:szCs w:val="22"/>
              </w:rPr>
              <w:t xml:space="preserve"> для катетера с замком </w:t>
            </w:r>
            <w:proofErr w:type="spellStart"/>
            <w:r w:rsidRPr="0085067F">
              <w:rPr>
                <w:rFonts w:cs="Times New Roman"/>
                <w:sz w:val="22"/>
                <w:szCs w:val="22"/>
              </w:rPr>
              <w:t>Люера</w:t>
            </w:r>
            <w:proofErr w:type="spellEnd"/>
            <w:r w:rsidRPr="0085067F">
              <w:rPr>
                <w:rFonts w:cs="Times New Roman"/>
                <w:sz w:val="22"/>
                <w:szCs w:val="22"/>
              </w:rPr>
              <w:t xml:space="preserve"> типа </w:t>
            </w:r>
            <w:proofErr w:type="spellStart"/>
            <w:r w:rsidRPr="0085067F">
              <w:rPr>
                <w:rFonts w:cs="Times New Roman"/>
                <w:sz w:val="22"/>
                <w:szCs w:val="22"/>
              </w:rPr>
              <w:t>male</w:t>
            </w:r>
            <w:proofErr w:type="spellEnd"/>
            <w:r w:rsidRPr="0085067F">
              <w:rPr>
                <w:rFonts w:cs="Times New Roman"/>
                <w:sz w:val="22"/>
                <w:szCs w:val="22"/>
              </w:rPr>
              <w:t xml:space="preserve">. Шприц «утрата сопротивления» трёхкомпонентный: используемый объем 10 мл; </w:t>
            </w:r>
            <w:proofErr w:type="spellStart"/>
            <w:r w:rsidRPr="0085067F">
              <w:rPr>
                <w:rFonts w:cs="Times New Roman"/>
                <w:sz w:val="22"/>
                <w:szCs w:val="22"/>
              </w:rPr>
              <w:t>Эпидуральный</w:t>
            </w:r>
            <w:proofErr w:type="spellEnd"/>
            <w:r w:rsidRPr="0085067F">
              <w:rPr>
                <w:rFonts w:cs="Times New Roman"/>
                <w:sz w:val="22"/>
                <w:szCs w:val="22"/>
              </w:rPr>
              <w:t xml:space="preserve"> </w:t>
            </w:r>
            <w:proofErr w:type="spellStart"/>
            <w:r w:rsidRPr="0085067F">
              <w:rPr>
                <w:rFonts w:cs="Times New Roman"/>
                <w:sz w:val="22"/>
                <w:szCs w:val="22"/>
              </w:rPr>
              <w:t>фильтр</w:t>
            </w:r>
            <w:proofErr w:type="gramStart"/>
            <w:r w:rsidRPr="0085067F">
              <w:rPr>
                <w:rFonts w:cs="Times New Roman"/>
                <w:sz w:val="22"/>
                <w:szCs w:val="22"/>
              </w:rPr>
              <w:t>:д</w:t>
            </w:r>
            <w:proofErr w:type="gramEnd"/>
            <w:r w:rsidRPr="0085067F">
              <w:rPr>
                <w:rFonts w:cs="Times New Roman"/>
                <w:sz w:val="22"/>
                <w:szCs w:val="22"/>
              </w:rPr>
              <w:t>иаметр</w:t>
            </w:r>
            <w:proofErr w:type="spellEnd"/>
            <w:r w:rsidRPr="0085067F">
              <w:rPr>
                <w:rFonts w:cs="Times New Roman"/>
                <w:sz w:val="22"/>
                <w:szCs w:val="22"/>
              </w:rPr>
              <w:t xml:space="preserve"> пор 0,2 мкм, объем заполнения 0,75 мл; </w:t>
            </w:r>
            <w:r w:rsidRPr="0085067F">
              <w:rPr>
                <w:rFonts w:cs="Times New Roman"/>
                <w:sz w:val="22"/>
                <w:szCs w:val="22"/>
              </w:rPr>
              <w:br/>
              <w:t xml:space="preserve">Коннектор для </w:t>
            </w:r>
            <w:proofErr w:type="spellStart"/>
            <w:r w:rsidRPr="0085067F">
              <w:rPr>
                <w:rFonts w:cs="Times New Roman"/>
                <w:sz w:val="22"/>
                <w:szCs w:val="22"/>
              </w:rPr>
              <w:t>эпидурального</w:t>
            </w:r>
            <w:proofErr w:type="spellEnd"/>
            <w:r w:rsidRPr="0085067F">
              <w:rPr>
                <w:rFonts w:cs="Times New Roman"/>
                <w:sz w:val="22"/>
                <w:szCs w:val="22"/>
              </w:rPr>
              <w:t xml:space="preserve"> катетера. Тип соединени</w:t>
            </w:r>
            <w:proofErr w:type="gramStart"/>
            <w:r w:rsidRPr="0085067F">
              <w:rPr>
                <w:rFonts w:cs="Times New Roman"/>
                <w:sz w:val="22"/>
                <w:szCs w:val="22"/>
              </w:rPr>
              <w:t>я-</w:t>
            </w:r>
            <w:proofErr w:type="gramEnd"/>
            <w:r w:rsidRPr="0085067F">
              <w:rPr>
                <w:rFonts w:cs="Times New Roman"/>
                <w:sz w:val="22"/>
                <w:szCs w:val="22"/>
              </w:rPr>
              <w:t xml:space="preserve"> обжимная муфта с пресс-защёлкой.  </w:t>
            </w:r>
            <w:r w:rsidRPr="0085067F">
              <w:rPr>
                <w:rFonts w:cs="Times New Roman"/>
                <w:sz w:val="22"/>
                <w:szCs w:val="22"/>
              </w:rPr>
              <w:lastRenderedPageBreak/>
              <w:t xml:space="preserve">Индивидуальная стерильная упаковка, стерилизация </w:t>
            </w:r>
            <w:proofErr w:type="spellStart"/>
            <w:r w:rsidRPr="0085067F">
              <w:rPr>
                <w:rFonts w:cs="Times New Roman"/>
                <w:sz w:val="22"/>
                <w:szCs w:val="22"/>
              </w:rPr>
              <w:t>этиленоксидом</w:t>
            </w:r>
            <w:proofErr w:type="spellEnd"/>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lastRenderedPageBreak/>
              <w:t>набор</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15</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9 155,00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137 325,00</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lastRenderedPageBreak/>
              <w:t>9</w:t>
            </w:r>
          </w:p>
        </w:tc>
        <w:tc>
          <w:tcPr>
            <w:tcW w:w="4861" w:type="dxa"/>
            <w:shd w:val="clear" w:color="000000" w:fill="FFFFFF"/>
          </w:tcPr>
          <w:p w:rsidR="0085067F" w:rsidRPr="0085067F" w:rsidRDefault="0085067F">
            <w:pPr>
              <w:rPr>
                <w:rFonts w:cs="Times New Roman"/>
                <w:sz w:val="22"/>
                <w:szCs w:val="22"/>
                <w:lang w:eastAsia="en-US"/>
              </w:rPr>
            </w:pPr>
            <w:proofErr w:type="spellStart"/>
            <w:r w:rsidRPr="0085067F">
              <w:rPr>
                <w:rFonts w:cs="Times New Roman"/>
                <w:sz w:val="22"/>
                <w:szCs w:val="22"/>
              </w:rPr>
              <w:t>Спинокан</w:t>
            </w:r>
            <w:proofErr w:type="spellEnd"/>
            <w:r w:rsidRPr="0085067F">
              <w:rPr>
                <w:rFonts w:cs="Times New Roman"/>
                <w:sz w:val="22"/>
                <w:szCs w:val="22"/>
              </w:rPr>
              <w:t xml:space="preserve">  G26 (0,47*88мм) Игла для спинальной анестезии  G26 (0,47*88мм) с </w:t>
            </w:r>
            <w:proofErr w:type="spellStart"/>
            <w:r w:rsidRPr="0085067F">
              <w:rPr>
                <w:rFonts w:cs="Times New Roman"/>
                <w:sz w:val="22"/>
                <w:szCs w:val="22"/>
              </w:rPr>
              <w:t>мандреном</w:t>
            </w:r>
            <w:proofErr w:type="spellEnd"/>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300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1 700,00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510 000,00</w:t>
            </w:r>
          </w:p>
        </w:tc>
      </w:tr>
      <w:tr w:rsidR="0085067F" w:rsidRPr="0085067F" w:rsidTr="00317477">
        <w:trPr>
          <w:trHeight w:val="477"/>
        </w:trPr>
        <w:tc>
          <w:tcPr>
            <w:tcW w:w="668" w:type="dxa"/>
            <w:shd w:val="clear" w:color="000000" w:fill="FFFFFF"/>
            <w:noWrap/>
            <w:vAlign w:val="center"/>
          </w:tcPr>
          <w:p w:rsidR="0085067F" w:rsidRPr="0085067F" w:rsidRDefault="0085067F" w:rsidP="00317477">
            <w:pPr>
              <w:jc w:val="center"/>
              <w:rPr>
                <w:rFonts w:cs="Times New Roman"/>
                <w:sz w:val="22"/>
                <w:szCs w:val="22"/>
              </w:rPr>
            </w:pPr>
            <w:r w:rsidRPr="0085067F">
              <w:rPr>
                <w:rFonts w:cs="Times New Roman"/>
                <w:sz w:val="22"/>
                <w:szCs w:val="22"/>
              </w:rPr>
              <w:t>10</w:t>
            </w:r>
          </w:p>
        </w:tc>
        <w:tc>
          <w:tcPr>
            <w:tcW w:w="4861" w:type="dxa"/>
            <w:shd w:val="clear" w:color="000000" w:fill="FFFFFF"/>
          </w:tcPr>
          <w:p w:rsidR="0085067F" w:rsidRPr="0085067F" w:rsidRDefault="0085067F">
            <w:pPr>
              <w:rPr>
                <w:rFonts w:cs="Times New Roman"/>
                <w:sz w:val="22"/>
                <w:szCs w:val="22"/>
                <w:lang w:eastAsia="en-US"/>
              </w:rPr>
            </w:pPr>
            <w:r w:rsidRPr="0085067F">
              <w:rPr>
                <w:rFonts w:cs="Times New Roman"/>
                <w:sz w:val="22"/>
                <w:szCs w:val="22"/>
              </w:rPr>
              <w:t>Мини-</w:t>
            </w:r>
            <w:proofErr w:type="spellStart"/>
            <w:r w:rsidRPr="0085067F">
              <w:rPr>
                <w:rFonts w:cs="Times New Roman"/>
                <w:sz w:val="22"/>
                <w:szCs w:val="22"/>
              </w:rPr>
              <w:t>Спайк</w:t>
            </w:r>
            <w:proofErr w:type="spellEnd"/>
            <w:r w:rsidRPr="0085067F">
              <w:rPr>
                <w:rFonts w:cs="Times New Roman"/>
                <w:sz w:val="22"/>
                <w:szCs w:val="22"/>
              </w:rPr>
              <w:t xml:space="preserve">, фильтр-канюля для аспирации и инъекции в </w:t>
            </w:r>
            <w:proofErr w:type="spellStart"/>
            <w:r w:rsidRPr="0085067F">
              <w:rPr>
                <w:rFonts w:cs="Times New Roman"/>
                <w:sz w:val="22"/>
                <w:szCs w:val="22"/>
              </w:rPr>
              <w:t>мультидозные</w:t>
            </w:r>
            <w:proofErr w:type="spellEnd"/>
            <w:r w:rsidRPr="0085067F">
              <w:rPr>
                <w:rFonts w:cs="Times New Roman"/>
                <w:sz w:val="22"/>
                <w:szCs w:val="22"/>
              </w:rPr>
              <w:t xml:space="preserve"> флаконы, стандартный наконечник с антибактериальным воздушным фильтром 0.45 мм, зеленый. Устройство многократного отбора медикаментов (мини-</w:t>
            </w:r>
            <w:proofErr w:type="spellStart"/>
            <w:r w:rsidRPr="0085067F">
              <w:rPr>
                <w:rFonts w:cs="Times New Roman"/>
                <w:sz w:val="22"/>
                <w:szCs w:val="22"/>
              </w:rPr>
              <w:t>спайк</w:t>
            </w:r>
            <w:proofErr w:type="spellEnd"/>
            <w:r w:rsidRPr="0085067F">
              <w:rPr>
                <w:rFonts w:cs="Times New Roman"/>
                <w:sz w:val="22"/>
                <w:szCs w:val="22"/>
              </w:rPr>
              <w:t xml:space="preserve">) применяется для приготовления, введения, переливания и забора растворов из флаконов и многократного последующего отбора растворов и медикаментов с 0,1 мкм гидрофобным антибактериальным воздушным фильтром (кодировка-зеленый) Подходит для любых флаконов с резиновыми пробками и </w:t>
            </w:r>
            <w:proofErr w:type="spellStart"/>
            <w:r w:rsidRPr="0085067F">
              <w:rPr>
                <w:rFonts w:cs="Times New Roman"/>
                <w:sz w:val="22"/>
                <w:szCs w:val="22"/>
              </w:rPr>
              <w:t>инфузионных</w:t>
            </w:r>
            <w:proofErr w:type="spellEnd"/>
            <w:r w:rsidRPr="0085067F">
              <w:rPr>
                <w:rFonts w:cs="Times New Roman"/>
                <w:sz w:val="22"/>
                <w:szCs w:val="22"/>
              </w:rPr>
              <w:t xml:space="preserve"> пакетов. Материал: АБС, защитный колпачо</w:t>
            </w:r>
            <w:proofErr w:type="gramStart"/>
            <w:r w:rsidRPr="0085067F">
              <w:rPr>
                <w:rFonts w:cs="Times New Roman"/>
                <w:sz w:val="22"/>
                <w:szCs w:val="22"/>
              </w:rPr>
              <w:t>к-</w:t>
            </w:r>
            <w:proofErr w:type="gramEnd"/>
            <w:r w:rsidRPr="0085067F">
              <w:rPr>
                <w:rFonts w:cs="Times New Roman"/>
                <w:sz w:val="22"/>
                <w:szCs w:val="22"/>
              </w:rPr>
              <w:t xml:space="preserve"> полипропилен,  защитная крышка- полиэтилен, фильтр- акриловый сополимер на нейлоновой основе. Описание: Аспирационная фильт</w:t>
            </w:r>
            <w:proofErr w:type="gramStart"/>
            <w:r w:rsidRPr="0085067F">
              <w:rPr>
                <w:rFonts w:cs="Times New Roman"/>
                <w:sz w:val="22"/>
                <w:szCs w:val="22"/>
              </w:rPr>
              <w:t>р-</w:t>
            </w:r>
            <w:proofErr w:type="gramEnd"/>
            <w:r w:rsidRPr="0085067F">
              <w:rPr>
                <w:rFonts w:cs="Times New Roman"/>
                <w:sz w:val="22"/>
                <w:szCs w:val="22"/>
              </w:rPr>
              <w:t xml:space="preserve"> канюля для </w:t>
            </w:r>
            <w:proofErr w:type="spellStart"/>
            <w:r w:rsidRPr="0085067F">
              <w:rPr>
                <w:rFonts w:cs="Times New Roman"/>
                <w:sz w:val="22"/>
                <w:szCs w:val="22"/>
              </w:rPr>
              <w:t>безыгольного</w:t>
            </w:r>
            <w:proofErr w:type="spellEnd"/>
            <w:r w:rsidRPr="0085067F">
              <w:rPr>
                <w:rFonts w:cs="Times New Roman"/>
                <w:sz w:val="22"/>
                <w:szCs w:val="22"/>
              </w:rPr>
              <w:t xml:space="preserve"> многократного забора жидких медикаментов. Имеет двухканальную пластиковую иглу-проводник длиной 21 мм для прокола пробки флаконов, снабженную защитным полупрозрачным колпачком. </w:t>
            </w:r>
            <w:r w:rsidRPr="0085067F">
              <w:rPr>
                <w:rFonts w:cs="Times New Roman"/>
                <w:sz w:val="22"/>
                <w:szCs w:val="22"/>
              </w:rPr>
              <w:br/>
              <w:t>Один из канало</w:t>
            </w:r>
            <w:proofErr w:type="gramStart"/>
            <w:r w:rsidRPr="0085067F">
              <w:rPr>
                <w:rFonts w:cs="Times New Roman"/>
                <w:sz w:val="22"/>
                <w:szCs w:val="22"/>
              </w:rPr>
              <w:t>в-</w:t>
            </w:r>
            <w:proofErr w:type="gramEnd"/>
            <w:r w:rsidRPr="0085067F">
              <w:rPr>
                <w:rFonts w:cs="Times New Roman"/>
                <w:sz w:val="22"/>
                <w:szCs w:val="22"/>
              </w:rPr>
              <w:t xml:space="preserve"> сквозной, выполняющий функцию проводника между прокалывающим элементом и разъёмом, оборудованным соединением типа «</w:t>
            </w:r>
            <w:proofErr w:type="spellStart"/>
            <w:r w:rsidRPr="0085067F">
              <w:rPr>
                <w:rFonts w:cs="Times New Roman"/>
                <w:sz w:val="22"/>
                <w:szCs w:val="22"/>
              </w:rPr>
              <w:t>Луер-Лок</w:t>
            </w:r>
            <w:proofErr w:type="spellEnd"/>
            <w:r w:rsidRPr="0085067F">
              <w:rPr>
                <w:rFonts w:cs="Times New Roman"/>
                <w:sz w:val="22"/>
                <w:szCs w:val="22"/>
              </w:rPr>
              <w:t xml:space="preserve">» на другом конце со встроенной подпружиненной крышкой </w:t>
            </w:r>
            <w:proofErr w:type="spellStart"/>
            <w:r w:rsidRPr="0085067F">
              <w:rPr>
                <w:rFonts w:cs="Times New Roman"/>
                <w:sz w:val="22"/>
                <w:szCs w:val="22"/>
              </w:rPr>
              <w:t>Снэп</w:t>
            </w:r>
            <w:proofErr w:type="spellEnd"/>
            <w:r w:rsidRPr="0085067F">
              <w:rPr>
                <w:rFonts w:cs="Times New Roman"/>
                <w:sz w:val="22"/>
                <w:szCs w:val="22"/>
              </w:rPr>
              <w:t xml:space="preserve"> </w:t>
            </w:r>
            <w:proofErr w:type="spellStart"/>
            <w:r w:rsidRPr="0085067F">
              <w:rPr>
                <w:rFonts w:cs="Times New Roman"/>
                <w:sz w:val="22"/>
                <w:szCs w:val="22"/>
              </w:rPr>
              <w:t>Лок</w:t>
            </w:r>
            <w:proofErr w:type="spellEnd"/>
            <w:r w:rsidRPr="0085067F">
              <w:rPr>
                <w:rFonts w:cs="Times New Roman"/>
                <w:sz w:val="22"/>
                <w:szCs w:val="22"/>
              </w:rPr>
              <w:t xml:space="preserve"> с возможностью  изменения положения крышки с фиксацией за счет специальных фиксирующих вырезов. Коннектор с внутренней стороны </w:t>
            </w:r>
            <w:proofErr w:type="gramStart"/>
            <w:r w:rsidRPr="0085067F">
              <w:rPr>
                <w:rFonts w:cs="Times New Roman"/>
                <w:sz w:val="22"/>
                <w:szCs w:val="22"/>
              </w:rPr>
              <w:t>выполнен</w:t>
            </w:r>
            <w:proofErr w:type="gramEnd"/>
            <w:r w:rsidRPr="0085067F">
              <w:rPr>
                <w:rFonts w:cs="Times New Roman"/>
                <w:sz w:val="22"/>
                <w:szCs w:val="22"/>
              </w:rPr>
              <w:t xml:space="preserve"> с 6% конусностью для герметического соединения с другими устройствами, в частности, со шприцами с разъемами типа </w:t>
            </w:r>
            <w:proofErr w:type="spellStart"/>
            <w:r w:rsidRPr="0085067F">
              <w:rPr>
                <w:rFonts w:cs="Times New Roman"/>
                <w:sz w:val="22"/>
                <w:szCs w:val="22"/>
              </w:rPr>
              <w:t>Луер</w:t>
            </w:r>
            <w:proofErr w:type="spellEnd"/>
            <w:r w:rsidRPr="0085067F">
              <w:rPr>
                <w:rFonts w:cs="Times New Roman"/>
                <w:sz w:val="22"/>
                <w:szCs w:val="22"/>
              </w:rPr>
              <w:t xml:space="preserve"> и </w:t>
            </w:r>
            <w:proofErr w:type="spellStart"/>
            <w:r w:rsidRPr="0085067F">
              <w:rPr>
                <w:rFonts w:cs="Times New Roman"/>
                <w:sz w:val="22"/>
                <w:szCs w:val="22"/>
              </w:rPr>
              <w:t>Луер-Лок</w:t>
            </w:r>
            <w:proofErr w:type="spellEnd"/>
            <w:r w:rsidRPr="0085067F">
              <w:rPr>
                <w:rFonts w:cs="Times New Roman"/>
                <w:sz w:val="22"/>
                <w:szCs w:val="22"/>
              </w:rPr>
              <w:t xml:space="preserve">. Второй канал служит проводником для поступления воздуха во флакон, что позволяет забирать препарат из емкости любого объема без остатка. Воздушный канал на входе имеет фильтр 0,1 мкм, который обеспечивает защиту лекарственного средства от микробной контаминации. Воздушный фильтр расположен на боковой стороне  корпуса канюли.  Корпус канюли с боковыми ребристыми упорами для пальцев, обеспечивающими комфортное обращение. Устойчиво к </w:t>
            </w:r>
            <w:proofErr w:type="spellStart"/>
            <w:r w:rsidRPr="0085067F">
              <w:rPr>
                <w:rFonts w:cs="Times New Roman"/>
                <w:sz w:val="22"/>
                <w:szCs w:val="22"/>
              </w:rPr>
              <w:t>спирто</w:t>
            </w:r>
            <w:proofErr w:type="spellEnd"/>
            <w:r w:rsidRPr="0085067F">
              <w:rPr>
                <w:rFonts w:cs="Times New Roman"/>
                <w:sz w:val="22"/>
                <w:szCs w:val="22"/>
              </w:rPr>
              <w:t xml:space="preserve"> и жиросодержащим растворам. Изделие не содержит ПВХ, </w:t>
            </w:r>
            <w:proofErr w:type="spellStart"/>
            <w:r w:rsidRPr="0085067F">
              <w:rPr>
                <w:rFonts w:cs="Times New Roman"/>
                <w:sz w:val="22"/>
                <w:szCs w:val="22"/>
              </w:rPr>
              <w:t>ди</w:t>
            </w:r>
            <w:proofErr w:type="spellEnd"/>
            <w:r w:rsidRPr="0085067F">
              <w:rPr>
                <w:rFonts w:cs="Times New Roman"/>
                <w:sz w:val="22"/>
                <w:szCs w:val="22"/>
              </w:rPr>
              <w:t xml:space="preserve">-(2-этил </w:t>
            </w:r>
            <w:proofErr w:type="spellStart"/>
            <w:r w:rsidRPr="0085067F">
              <w:rPr>
                <w:rFonts w:cs="Times New Roman"/>
                <w:sz w:val="22"/>
                <w:szCs w:val="22"/>
              </w:rPr>
              <w:t>гексил</w:t>
            </w:r>
            <w:proofErr w:type="spellEnd"/>
            <w:r w:rsidRPr="0085067F">
              <w:rPr>
                <w:rFonts w:cs="Times New Roman"/>
                <w:sz w:val="22"/>
                <w:szCs w:val="22"/>
              </w:rPr>
              <w:t xml:space="preserve">) </w:t>
            </w:r>
            <w:proofErr w:type="spellStart"/>
            <w:r w:rsidRPr="0085067F">
              <w:rPr>
                <w:rFonts w:cs="Times New Roman"/>
                <w:sz w:val="22"/>
                <w:szCs w:val="22"/>
              </w:rPr>
              <w:t>фталата</w:t>
            </w:r>
            <w:proofErr w:type="spellEnd"/>
            <w:r w:rsidRPr="0085067F">
              <w:rPr>
                <w:rFonts w:cs="Times New Roman"/>
                <w:sz w:val="22"/>
                <w:szCs w:val="22"/>
              </w:rPr>
              <w:t xml:space="preserve"> (DEHP) или латекса. Устойчиво к давлению до 1 бар; Внутренний объем заполнения устройства: не более 0,25 мл. Цвет корпуса белый, крышка зеленая. Стерилизация:  </w:t>
            </w:r>
            <w:proofErr w:type="spellStart"/>
            <w:r w:rsidRPr="0085067F">
              <w:rPr>
                <w:rFonts w:cs="Times New Roman"/>
                <w:sz w:val="22"/>
                <w:szCs w:val="22"/>
              </w:rPr>
              <w:t>этиленоксидом</w:t>
            </w:r>
            <w:proofErr w:type="spellEnd"/>
            <w:r w:rsidRPr="0085067F">
              <w:rPr>
                <w:rFonts w:cs="Times New Roman"/>
                <w:sz w:val="22"/>
                <w:szCs w:val="22"/>
              </w:rPr>
              <w:t>, индивидуальная упаковка; для однократного использования;</w:t>
            </w:r>
          </w:p>
        </w:tc>
        <w:tc>
          <w:tcPr>
            <w:tcW w:w="1134" w:type="dxa"/>
            <w:shd w:val="clear" w:color="000000" w:fill="FFFFFF"/>
            <w:noWrap/>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штук</w:t>
            </w:r>
          </w:p>
        </w:tc>
        <w:tc>
          <w:tcPr>
            <w:tcW w:w="821" w:type="dxa"/>
            <w:shd w:val="clear" w:color="000000" w:fill="FFFFFF"/>
            <w:vAlign w:val="center"/>
          </w:tcPr>
          <w:p w:rsidR="0085067F" w:rsidRPr="0085067F" w:rsidRDefault="0085067F" w:rsidP="0085067F">
            <w:pPr>
              <w:jc w:val="center"/>
              <w:rPr>
                <w:rFonts w:cs="Times New Roman"/>
                <w:sz w:val="22"/>
                <w:szCs w:val="22"/>
                <w:lang w:eastAsia="en-US"/>
              </w:rPr>
            </w:pPr>
            <w:r w:rsidRPr="0085067F">
              <w:rPr>
                <w:rFonts w:cs="Times New Roman"/>
                <w:sz w:val="22"/>
                <w:szCs w:val="22"/>
              </w:rPr>
              <w:t>500</w:t>
            </w:r>
          </w:p>
        </w:tc>
        <w:tc>
          <w:tcPr>
            <w:tcW w:w="1305"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565,00</w:t>
            </w:r>
          </w:p>
        </w:tc>
        <w:tc>
          <w:tcPr>
            <w:tcW w:w="1418" w:type="dxa"/>
            <w:shd w:val="clear" w:color="000000" w:fill="FFFFFF"/>
            <w:noWrap/>
            <w:vAlign w:val="center"/>
          </w:tcPr>
          <w:p w:rsidR="0085067F" w:rsidRPr="0085067F" w:rsidRDefault="0085067F" w:rsidP="0085067F">
            <w:pPr>
              <w:jc w:val="center"/>
              <w:rPr>
                <w:rFonts w:cs="Times New Roman"/>
                <w:color w:val="000000"/>
                <w:sz w:val="22"/>
                <w:szCs w:val="22"/>
                <w:lang w:eastAsia="en-US"/>
              </w:rPr>
            </w:pPr>
            <w:r w:rsidRPr="0085067F">
              <w:rPr>
                <w:rFonts w:cs="Times New Roman"/>
                <w:color w:val="000000"/>
                <w:sz w:val="22"/>
                <w:szCs w:val="22"/>
              </w:rPr>
              <w:t>282 500,00</w:t>
            </w:r>
          </w:p>
        </w:tc>
      </w:tr>
    </w:tbl>
    <w:p w:rsidR="0048597F" w:rsidRPr="00445013" w:rsidRDefault="00D53757" w:rsidP="00B2483B">
      <w:pPr>
        <w:jc w:val="both"/>
      </w:pPr>
      <w:r w:rsidRPr="00445013">
        <w:t>Выделенная</w:t>
      </w:r>
      <w:r w:rsidR="0080080F" w:rsidRPr="00445013">
        <w:t xml:space="preserve"> сумма</w:t>
      </w:r>
      <w:r w:rsidR="007773A2" w:rsidRPr="00445013">
        <w:t xml:space="preserve"> </w:t>
      </w:r>
      <w:bookmarkStart w:id="0" w:name="_GoBack"/>
      <w:r w:rsidR="0085067F">
        <w:rPr>
          <w:rFonts w:eastAsia="Times New Roman" w:cs="Times New Roman"/>
          <w:kern w:val="0"/>
          <w:lang w:eastAsia="ru-RU" w:bidi="ar-SA"/>
        </w:rPr>
        <w:t>4 596 825</w:t>
      </w:r>
      <w:r w:rsidR="00980552" w:rsidRPr="00445013">
        <w:rPr>
          <w:rFonts w:eastAsia="Times New Roman" w:cs="Times New Roman"/>
          <w:kern w:val="0"/>
          <w:lang w:eastAsia="ru-RU" w:bidi="ar-SA"/>
        </w:rPr>
        <w:t>,</w:t>
      </w:r>
      <w:r w:rsidR="00B2483B" w:rsidRPr="00445013">
        <w:rPr>
          <w:rFonts w:eastAsia="Times New Roman" w:cs="Times New Roman"/>
          <w:kern w:val="0"/>
          <w:lang w:eastAsia="ru-RU" w:bidi="ar-SA"/>
        </w:rPr>
        <w:t>00</w:t>
      </w:r>
      <w:r w:rsidR="0048597F" w:rsidRPr="00445013">
        <w:t xml:space="preserve"> (</w:t>
      </w:r>
      <w:r w:rsidR="0085067F" w:rsidRPr="0085067F">
        <w:t>четыре миллиона пятьсот девяносто шесть тысяч восемьсот двадцать пять</w:t>
      </w:r>
      <w:bookmarkEnd w:id="0"/>
      <w:r w:rsidR="0048597F" w:rsidRPr="00445013">
        <w:t>) тенге.</w:t>
      </w:r>
    </w:p>
    <w:p w:rsidR="0080080F" w:rsidRPr="00445013" w:rsidRDefault="0080080F" w:rsidP="0048597F">
      <w:pPr>
        <w:jc w:val="both"/>
        <w:rPr>
          <w:rFonts w:cs="Times New Roman"/>
        </w:rPr>
      </w:pPr>
      <w:r w:rsidRPr="00445013">
        <w:rPr>
          <w:rFonts w:cs="Times New Roman"/>
        </w:rPr>
        <w:lastRenderedPageBreak/>
        <w:t xml:space="preserve">Поставка товара производиться частями в течение </w:t>
      </w:r>
      <w:r w:rsidR="00DC56C3" w:rsidRPr="00445013">
        <w:rPr>
          <w:rFonts w:cs="Times New Roman"/>
        </w:rPr>
        <w:t>5</w:t>
      </w:r>
      <w:r w:rsidR="00166458" w:rsidRPr="00445013">
        <w:rPr>
          <w:rFonts w:cs="Times New Roman"/>
        </w:rPr>
        <w:t xml:space="preserve"> </w:t>
      </w:r>
      <w:r w:rsidR="00DC56C3" w:rsidRPr="00445013">
        <w:rPr>
          <w:rFonts w:cs="Times New Roman"/>
        </w:rPr>
        <w:t>-</w:t>
      </w:r>
      <w:r w:rsidR="00166458" w:rsidRPr="00445013">
        <w:rPr>
          <w:rFonts w:cs="Times New Roman"/>
        </w:rPr>
        <w:t xml:space="preserve"> и</w:t>
      </w:r>
      <w:r w:rsidR="00DC56C3" w:rsidRPr="00445013">
        <w:rPr>
          <w:rFonts w:cs="Times New Roman"/>
        </w:rPr>
        <w:t xml:space="preserve"> календарных дней </w:t>
      </w:r>
      <w:r w:rsidRPr="00445013">
        <w:rPr>
          <w:rFonts w:cs="Times New Roman"/>
        </w:rPr>
        <w:t xml:space="preserve">текущего года по заявке Заказчика. </w:t>
      </w:r>
    </w:p>
    <w:p w:rsidR="0080080F" w:rsidRPr="00445013" w:rsidRDefault="0080080F" w:rsidP="0048597F">
      <w:pPr>
        <w:jc w:val="both"/>
        <w:rPr>
          <w:rFonts w:cs="Times New Roman"/>
        </w:rPr>
      </w:pPr>
      <w:r w:rsidRPr="00445013">
        <w:rPr>
          <w:rFonts w:cs="Times New Roman"/>
        </w:rPr>
        <w:t xml:space="preserve">Место поставки товара: АО «Национальный научный центр хирургии им. А.Н. </w:t>
      </w:r>
      <w:proofErr w:type="spellStart"/>
      <w:r w:rsidRPr="00445013">
        <w:rPr>
          <w:rFonts w:cs="Times New Roman"/>
        </w:rPr>
        <w:t>Сызганова</w:t>
      </w:r>
      <w:proofErr w:type="spellEnd"/>
      <w:r w:rsidRPr="00445013">
        <w:rPr>
          <w:rFonts w:cs="Times New Roman"/>
        </w:rPr>
        <w:t xml:space="preserve">», г. Алматы, </w:t>
      </w:r>
      <w:proofErr w:type="spellStart"/>
      <w:r w:rsidRPr="00445013">
        <w:rPr>
          <w:rFonts w:cs="Times New Roman"/>
        </w:rPr>
        <w:t>Алмалинский</w:t>
      </w:r>
      <w:proofErr w:type="spellEnd"/>
      <w:r w:rsidR="00562323" w:rsidRPr="00445013">
        <w:rPr>
          <w:rFonts w:cs="Times New Roman"/>
        </w:rPr>
        <w:t xml:space="preserve"> </w:t>
      </w:r>
      <w:proofErr w:type="gramStart"/>
      <w:r w:rsidRPr="00445013">
        <w:rPr>
          <w:rFonts w:cs="Times New Roman"/>
        </w:rPr>
        <w:t>р</w:t>
      </w:r>
      <w:proofErr w:type="gramEnd"/>
      <w:r w:rsidRPr="00445013">
        <w:rPr>
          <w:rFonts w:cs="Times New Roman"/>
        </w:rPr>
        <w:t xml:space="preserve">/н, ул. </w:t>
      </w:r>
      <w:proofErr w:type="spellStart"/>
      <w:r w:rsidRPr="00445013">
        <w:rPr>
          <w:rFonts w:cs="Times New Roman"/>
        </w:rPr>
        <w:t>Желтоксан</w:t>
      </w:r>
      <w:proofErr w:type="spellEnd"/>
      <w:r w:rsidRPr="00445013">
        <w:rPr>
          <w:rFonts w:cs="Times New Roman"/>
        </w:rPr>
        <w:t>, 62, аптечный склад.</w:t>
      </w:r>
    </w:p>
    <w:p w:rsidR="0080080F" w:rsidRPr="00445013" w:rsidRDefault="0080080F" w:rsidP="0048597F">
      <w:pPr>
        <w:jc w:val="both"/>
        <w:rPr>
          <w:rFonts w:cs="Times New Roman"/>
        </w:rPr>
      </w:pPr>
      <w:r w:rsidRPr="00445013">
        <w:rPr>
          <w:rFonts w:cs="Times New Roman"/>
        </w:rPr>
        <w:t xml:space="preserve">Место и окончательный срок предоставления ценовых предложений: г. Алматы, </w:t>
      </w:r>
      <w:proofErr w:type="spellStart"/>
      <w:r w:rsidRPr="00445013">
        <w:rPr>
          <w:rFonts w:cs="Times New Roman"/>
        </w:rPr>
        <w:t>Алмалинский</w:t>
      </w:r>
      <w:proofErr w:type="spellEnd"/>
      <w:r w:rsidRPr="00445013">
        <w:rPr>
          <w:rFonts w:cs="Times New Roman"/>
        </w:rPr>
        <w:t xml:space="preserve"> </w:t>
      </w:r>
      <w:proofErr w:type="gramStart"/>
      <w:r w:rsidRPr="00445013">
        <w:rPr>
          <w:rFonts w:cs="Times New Roman"/>
        </w:rPr>
        <w:t>р</w:t>
      </w:r>
      <w:proofErr w:type="gramEnd"/>
      <w:r w:rsidRPr="00445013">
        <w:rPr>
          <w:rFonts w:cs="Times New Roman"/>
        </w:rPr>
        <w:t xml:space="preserve">/н, ул. </w:t>
      </w:r>
      <w:proofErr w:type="spellStart"/>
      <w:r w:rsidRPr="00445013">
        <w:rPr>
          <w:rFonts w:cs="Times New Roman"/>
        </w:rPr>
        <w:t>Желтоксан</w:t>
      </w:r>
      <w:proofErr w:type="spellEnd"/>
      <w:r w:rsidRPr="00445013">
        <w:rPr>
          <w:rFonts w:cs="Times New Roman"/>
        </w:rPr>
        <w:t xml:space="preserve">, 51, кабинет 201, дата </w:t>
      </w:r>
      <w:r w:rsidR="008E4F23">
        <w:rPr>
          <w:rFonts w:cs="Times New Roman"/>
        </w:rPr>
        <w:t>31</w:t>
      </w:r>
      <w:r w:rsidRPr="00445013">
        <w:rPr>
          <w:rFonts w:cs="Times New Roman"/>
        </w:rPr>
        <w:t>.</w:t>
      </w:r>
      <w:r w:rsidR="00701661">
        <w:rPr>
          <w:rFonts w:cs="Times New Roman"/>
        </w:rPr>
        <w:t>0</w:t>
      </w:r>
      <w:r w:rsidR="008E4F23">
        <w:rPr>
          <w:rFonts w:cs="Times New Roman"/>
        </w:rPr>
        <w:t>3</w:t>
      </w:r>
      <w:r w:rsidRPr="00445013">
        <w:rPr>
          <w:rFonts w:cs="Times New Roman"/>
        </w:rPr>
        <w:t>.20</w:t>
      </w:r>
      <w:r w:rsidR="00CD1603" w:rsidRPr="00445013">
        <w:rPr>
          <w:rFonts w:cs="Times New Roman"/>
        </w:rPr>
        <w:t>2</w:t>
      </w:r>
      <w:r w:rsidR="005F237D" w:rsidRPr="00445013">
        <w:rPr>
          <w:rFonts w:cs="Times New Roman"/>
        </w:rPr>
        <w:t>1</w:t>
      </w:r>
      <w:r w:rsidRPr="00445013">
        <w:rPr>
          <w:rFonts w:cs="Times New Roman"/>
        </w:rPr>
        <w:t xml:space="preserve">г. время: </w:t>
      </w:r>
      <w:r w:rsidR="0048597F" w:rsidRPr="00445013">
        <w:rPr>
          <w:rFonts w:cs="Times New Roman"/>
        </w:rPr>
        <w:t>09</w:t>
      </w:r>
      <w:r w:rsidRPr="00445013">
        <w:rPr>
          <w:rFonts w:cs="Times New Roman"/>
        </w:rPr>
        <w:t>:</w:t>
      </w:r>
      <w:r w:rsidR="0048597F" w:rsidRPr="00445013">
        <w:rPr>
          <w:rFonts w:cs="Times New Roman"/>
        </w:rPr>
        <w:t>00</w:t>
      </w:r>
      <w:r w:rsidRPr="00445013">
        <w:rPr>
          <w:rFonts w:cs="Times New Roman"/>
        </w:rPr>
        <w:t xml:space="preserve"> часов.</w:t>
      </w:r>
    </w:p>
    <w:p w:rsidR="0080080F" w:rsidRPr="00445013" w:rsidRDefault="0080080F" w:rsidP="0048597F">
      <w:pPr>
        <w:jc w:val="both"/>
        <w:rPr>
          <w:rFonts w:cs="Times New Roman"/>
        </w:rPr>
      </w:pPr>
      <w:r w:rsidRPr="00445013">
        <w:rPr>
          <w:rFonts w:cs="Times New Roman"/>
        </w:rPr>
        <w:t xml:space="preserve">Дата и время вскрытия ценовых предложений: дата </w:t>
      </w:r>
      <w:r w:rsidR="008E4F23">
        <w:rPr>
          <w:rFonts w:cs="Times New Roman"/>
        </w:rPr>
        <w:t>31</w:t>
      </w:r>
      <w:r w:rsidRPr="00445013">
        <w:rPr>
          <w:rFonts w:cs="Times New Roman"/>
        </w:rPr>
        <w:t>.</w:t>
      </w:r>
      <w:r w:rsidR="00701661">
        <w:rPr>
          <w:rFonts w:cs="Times New Roman"/>
        </w:rPr>
        <w:t>0</w:t>
      </w:r>
      <w:r w:rsidR="008E4F23">
        <w:rPr>
          <w:rFonts w:cs="Times New Roman"/>
        </w:rPr>
        <w:t>3</w:t>
      </w:r>
      <w:r w:rsidRPr="00445013">
        <w:rPr>
          <w:rFonts w:cs="Times New Roman"/>
        </w:rPr>
        <w:t>.</w:t>
      </w:r>
      <w:r w:rsidR="005F237D" w:rsidRPr="00445013">
        <w:rPr>
          <w:rFonts w:cs="Times New Roman"/>
        </w:rPr>
        <w:t>2021</w:t>
      </w:r>
      <w:r w:rsidRPr="00445013">
        <w:rPr>
          <w:rFonts w:cs="Times New Roman"/>
        </w:rPr>
        <w:t xml:space="preserve">. время </w:t>
      </w:r>
      <w:r w:rsidR="0048597F" w:rsidRPr="00445013">
        <w:rPr>
          <w:rFonts w:cs="Times New Roman"/>
        </w:rPr>
        <w:t>10</w:t>
      </w:r>
      <w:r w:rsidRPr="00445013">
        <w:rPr>
          <w:rFonts w:cs="Times New Roman"/>
        </w:rPr>
        <w:t>:</w:t>
      </w:r>
      <w:r w:rsidR="00B2483B" w:rsidRPr="00445013">
        <w:rPr>
          <w:rFonts w:cs="Times New Roman"/>
        </w:rPr>
        <w:t>0</w:t>
      </w:r>
      <w:r w:rsidR="00194E07" w:rsidRPr="00445013">
        <w:rPr>
          <w:rFonts w:cs="Times New Roman"/>
        </w:rPr>
        <w:t>0</w:t>
      </w:r>
      <w:r w:rsidRPr="00445013">
        <w:rPr>
          <w:rFonts w:cs="Times New Roman"/>
        </w:rPr>
        <w:t xml:space="preserve"> часов, место вскрытия: г. Алматы, </w:t>
      </w:r>
      <w:proofErr w:type="spellStart"/>
      <w:r w:rsidRPr="00445013">
        <w:rPr>
          <w:rFonts w:cs="Times New Roman"/>
        </w:rPr>
        <w:t>Алмалинский</w:t>
      </w:r>
      <w:proofErr w:type="spellEnd"/>
      <w:r w:rsidR="00562323" w:rsidRPr="00445013">
        <w:rPr>
          <w:rFonts w:cs="Times New Roman"/>
        </w:rPr>
        <w:t xml:space="preserve"> </w:t>
      </w:r>
      <w:proofErr w:type="gramStart"/>
      <w:r w:rsidRPr="00445013">
        <w:rPr>
          <w:rFonts w:cs="Times New Roman"/>
        </w:rPr>
        <w:t>р</w:t>
      </w:r>
      <w:proofErr w:type="gramEnd"/>
      <w:r w:rsidRPr="00445013">
        <w:rPr>
          <w:rFonts w:cs="Times New Roman"/>
        </w:rPr>
        <w:t xml:space="preserve">/н, ул. </w:t>
      </w:r>
      <w:proofErr w:type="spellStart"/>
      <w:r w:rsidRPr="00445013">
        <w:rPr>
          <w:rFonts w:cs="Times New Roman"/>
        </w:rPr>
        <w:t>Желтоксан</w:t>
      </w:r>
      <w:proofErr w:type="spellEnd"/>
      <w:r w:rsidRPr="00445013">
        <w:rPr>
          <w:rFonts w:cs="Times New Roman"/>
        </w:rPr>
        <w:t>, 51, кабинет 201.</w:t>
      </w:r>
    </w:p>
    <w:p w:rsidR="0080080F" w:rsidRPr="00445013" w:rsidRDefault="0080080F" w:rsidP="0048597F">
      <w:pPr>
        <w:ind w:firstLine="708"/>
        <w:jc w:val="both"/>
        <w:rPr>
          <w:rFonts w:cs="Times New Roman"/>
          <w:b/>
        </w:rPr>
      </w:pPr>
      <w:r w:rsidRPr="00445013">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445013">
        <w:rPr>
          <w:rFonts w:cs="Times New Roman"/>
          <w:b/>
        </w:rPr>
        <w:t>пки, наименование Поставщика и З</w:t>
      </w:r>
      <w:r w:rsidRPr="00445013">
        <w:rPr>
          <w:rFonts w:cs="Times New Roman"/>
          <w:b/>
        </w:rPr>
        <w:t>аказчика.</w:t>
      </w:r>
    </w:p>
    <w:p w:rsidR="0080080F" w:rsidRPr="00445013" w:rsidRDefault="0080080F" w:rsidP="0048597F">
      <w:pPr>
        <w:jc w:val="both"/>
        <w:rPr>
          <w:rFonts w:cs="Times New Roman"/>
        </w:rPr>
      </w:pPr>
      <w:r w:rsidRPr="00445013">
        <w:rPr>
          <w:rFonts w:cs="Times New Roman"/>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946F21" w:rsidRPr="00445013" w:rsidRDefault="0080080F" w:rsidP="0048597F">
      <w:pPr>
        <w:jc w:val="both"/>
        <w:rPr>
          <w:rStyle w:val="s0"/>
        </w:rPr>
      </w:pPr>
      <w:r w:rsidRPr="00445013">
        <w:rPr>
          <w:rStyle w:val="s0"/>
        </w:rPr>
        <w:t>2.Конверт содержит ценовое предложение</w:t>
      </w:r>
      <w:r w:rsidR="00946F21" w:rsidRPr="00445013">
        <w:rPr>
          <w:rStyle w:val="s0"/>
        </w:rPr>
        <w:t>,</w:t>
      </w:r>
      <w:r w:rsidRPr="00445013">
        <w:rPr>
          <w:rStyle w:val="s0"/>
        </w:rPr>
        <w:t xml:space="preserve"> техническую спецификацию на предлагаемый товар,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w:t>
      </w:r>
      <w:bookmarkStart w:id="1" w:name="SUB10900"/>
      <w:bookmarkEnd w:id="1"/>
      <w:r w:rsidR="00946F21" w:rsidRPr="00445013">
        <w:rPr>
          <w:rStyle w:val="s0"/>
        </w:rPr>
        <w:t>.</w:t>
      </w:r>
    </w:p>
    <w:p w:rsidR="0080080F" w:rsidRPr="00445013" w:rsidRDefault="0080080F" w:rsidP="0048597F">
      <w:pPr>
        <w:jc w:val="both"/>
        <w:rPr>
          <w:rFonts w:cs="Times New Roman"/>
        </w:rPr>
      </w:pPr>
      <w:r w:rsidRPr="00445013">
        <w:rPr>
          <w:rStyle w:val="s0"/>
        </w:rPr>
        <w:t>3.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w:t>
      </w:r>
      <w:r w:rsidR="00694C51" w:rsidRPr="00445013">
        <w:rPr>
          <w:rStyle w:val="s0"/>
        </w:rPr>
        <w:t>роса и типового договора закупа.</w:t>
      </w:r>
    </w:p>
    <w:p w:rsidR="007223B9" w:rsidRPr="00445013" w:rsidRDefault="00956B72" w:rsidP="0048597F">
      <w:pPr>
        <w:jc w:val="both"/>
        <w:rPr>
          <w:rFonts w:cs="Times New Roman"/>
        </w:rPr>
      </w:pPr>
      <w:bookmarkStart w:id="2" w:name="SUB11300"/>
      <w:bookmarkEnd w:id="2"/>
      <w:r w:rsidRPr="00445013">
        <w:rPr>
          <w:rStyle w:val="s0"/>
        </w:rPr>
        <w:t>4</w:t>
      </w:r>
      <w:r w:rsidR="0080080F" w:rsidRPr="00445013">
        <w:rPr>
          <w:rStyle w:val="s0"/>
        </w:rPr>
        <w:t xml:space="preserve">. </w:t>
      </w:r>
      <w:r w:rsidR="007223B9" w:rsidRPr="00445013">
        <w:rPr>
          <w:rStyle w:val="s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223B9" w:rsidRPr="00445013">
        <w:rPr>
          <w:rStyle w:val="s0"/>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w:anchor="sub2000" w:history="1">
        <w:r w:rsidR="007223B9" w:rsidRPr="00445013">
          <w:rPr>
            <w:rStyle w:val="a4"/>
            <w:rFonts w:cs="Times New Roman"/>
          </w:rPr>
          <w:t>главой 4</w:t>
        </w:r>
      </w:hyperlink>
      <w:r w:rsidR="007223B9" w:rsidRPr="00445013">
        <w:rPr>
          <w:rStyle w:val="s0"/>
        </w:rPr>
        <w:t xml:space="preserve"> настоящих Правил, а также описание и объем фармацевтических услуг.</w:t>
      </w:r>
      <w:proofErr w:type="gramEnd"/>
    </w:p>
    <w:p w:rsidR="007223B9" w:rsidRPr="00445013" w:rsidRDefault="007223B9" w:rsidP="0048597F">
      <w:pPr>
        <w:ind w:firstLine="397"/>
        <w:jc w:val="both"/>
        <w:rPr>
          <w:rFonts w:cs="Times New Roman"/>
        </w:rPr>
      </w:pPr>
      <w:proofErr w:type="gramStart"/>
      <w:r w:rsidRPr="00445013">
        <w:rPr>
          <w:rStyle w:val="s0"/>
        </w:rPr>
        <w:t xml:space="preserve">1) наличие регистрации лекарственных средств, медицинских изделий в Республике Казахстан в соответствии с положениями </w:t>
      </w:r>
      <w:hyperlink r:id="rId8" w:history="1">
        <w:r w:rsidRPr="00445013">
          <w:rPr>
            <w:rStyle w:val="a4"/>
            <w:rFonts w:cs="Times New Roman"/>
          </w:rPr>
          <w:t>Кодекса</w:t>
        </w:r>
      </w:hyperlink>
      <w:r w:rsidRPr="00445013">
        <w:rPr>
          <w:rStyle w:val="s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445013">
        <w:rPr>
          <w:rStyle w:val="s0"/>
        </w:rPr>
        <w:t>орфанных</w:t>
      </w:r>
      <w:proofErr w:type="spellEnd"/>
      <w:r w:rsidRPr="00445013">
        <w:rPr>
          <w:rStyle w:val="s0"/>
        </w:rPr>
        <w:t xml:space="preserve"> препаратов, включенных в </w:t>
      </w:r>
      <w:hyperlink r:id="rId9" w:history="1">
        <w:r w:rsidRPr="00445013">
          <w:rPr>
            <w:rStyle w:val="a4"/>
            <w:rFonts w:cs="Times New Roman"/>
          </w:rPr>
          <w:t>перечень</w:t>
        </w:r>
      </w:hyperlink>
      <w:r w:rsidRPr="00445013">
        <w:rPr>
          <w:rStyle w:val="s0"/>
        </w:rPr>
        <w:t xml:space="preserve"> </w:t>
      </w:r>
      <w:proofErr w:type="spellStart"/>
      <w:r w:rsidRPr="00445013">
        <w:rPr>
          <w:rStyle w:val="s0"/>
        </w:rPr>
        <w:t>орфанных</w:t>
      </w:r>
      <w:proofErr w:type="spellEnd"/>
      <w:r w:rsidRPr="00445013">
        <w:rPr>
          <w:rStyle w:val="s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445013">
        <w:rPr>
          <w:rStyle w:val="s0"/>
        </w:rPr>
        <w:t xml:space="preserve"> изделия или устройства, </w:t>
      </w:r>
      <w:proofErr w:type="gramStart"/>
      <w:r w:rsidRPr="00445013">
        <w:rPr>
          <w:rStyle w:val="s0"/>
        </w:rPr>
        <w:t>ввезенных</w:t>
      </w:r>
      <w:proofErr w:type="gramEnd"/>
      <w:r w:rsidRPr="00445013">
        <w:rPr>
          <w:rStyle w:val="s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223B9" w:rsidRPr="00445013" w:rsidRDefault="007223B9" w:rsidP="0048597F">
      <w:pPr>
        <w:ind w:firstLine="397"/>
        <w:jc w:val="both"/>
        <w:rPr>
          <w:rFonts w:cs="Times New Roman"/>
        </w:rPr>
      </w:pPr>
      <w:r w:rsidRPr="00445013">
        <w:rPr>
          <w:rStyle w:val="s0"/>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7223B9" w:rsidRPr="00445013" w:rsidRDefault="007223B9" w:rsidP="0048597F">
      <w:pPr>
        <w:ind w:firstLine="397"/>
        <w:jc w:val="both"/>
        <w:rPr>
          <w:rFonts w:cs="Times New Roman"/>
        </w:rPr>
      </w:pPr>
      <w:r w:rsidRPr="00445013">
        <w:rPr>
          <w:rStyle w:val="s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223B9" w:rsidRPr="00445013" w:rsidRDefault="007223B9" w:rsidP="0048597F">
      <w:pPr>
        <w:ind w:firstLine="397"/>
        <w:jc w:val="both"/>
        <w:rPr>
          <w:rFonts w:cs="Times New Roman"/>
        </w:rPr>
      </w:pPr>
      <w:r w:rsidRPr="00445013">
        <w:rPr>
          <w:rStyle w:val="s0"/>
        </w:rPr>
        <w:t>4) срок годности лекарственных средств, медицинских изделий на дату поставки поставщиком заказчику составляет:</w:t>
      </w:r>
    </w:p>
    <w:p w:rsidR="007223B9" w:rsidRPr="00445013" w:rsidRDefault="007223B9" w:rsidP="0048597F">
      <w:pPr>
        <w:ind w:firstLine="397"/>
        <w:jc w:val="both"/>
        <w:rPr>
          <w:rFonts w:cs="Times New Roman"/>
        </w:rPr>
      </w:pPr>
      <w:r w:rsidRPr="00445013">
        <w:rPr>
          <w:rStyle w:val="s0"/>
        </w:rPr>
        <w:t>не менее пятидесяти процентов от указанного срока годности на упаковке (при сроке годности менее двух лет);</w:t>
      </w:r>
    </w:p>
    <w:p w:rsidR="007223B9" w:rsidRPr="00445013" w:rsidRDefault="007223B9" w:rsidP="0048597F">
      <w:pPr>
        <w:ind w:firstLine="397"/>
        <w:jc w:val="both"/>
        <w:rPr>
          <w:rFonts w:cs="Times New Roman"/>
        </w:rPr>
      </w:pPr>
      <w:r w:rsidRPr="00445013">
        <w:rPr>
          <w:rStyle w:val="s0"/>
        </w:rPr>
        <w:t xml:space="preserve">не менее двенадцати месяцев от указанного срока годности на упаковке (при сроке </w:t>
      </w:r>
      <w:r w:rsidRPr="00445013">
        <w:rPr>
          <w:rStyle w:val="s0"/>
        </w:rPr>
        <w:lastRenderedPageBreak/>
        <w:t>годности два года и более);</w:t>
      </w:r>
    </w:p>
    <w:p w:rsidR="007223B9" w:rsidRPr="00445013" w:rsidRDefault="009710A9" w:rsidP="0048597F">
      <w:pPr>
        <w:ind w:firstLine="397"/>
        <w:jc w:val="both"/>
        <w:rPr>
          <w:rFonts w:cs="Times New Roman"/>
        </w:rPr>
      </w:pPr>
      <w:r w:rsidRPr="00445013">
        <w:rPr>
          <w:rStyle w:val="s0"/>
        </w:rPr>
        <w:t>5</w:t>
      </w:r>
      <w:r w:rsidR="007223B9" w:rsidRPr="00445013">
        <w:rPr>
          <w:rStyle w:val="s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7223B9" w:rsidRPr="00445013">
        <w:rPr>
          <w:rStyle w:val="s0"/>
        </w:rPr>
        <w:t>на</w:t>
      </w:r>
      <w:proofErr w:type="gramEnd"/>
      <w:r w:rsidR="007223B9" w:rsidRPr="00445013">
        <w:rPr>
          <w:rStyle w:val="s0"/>
        </w:rPr>
        <w:t xml:space="preserve"> закуп;</w:t>
      </w:r>
    </w:p>
    <w:p w:rsidR="007223B9" w:rsidRPr="00445013" w:rsidRDefault="009710A9" w:rsidP="0048597F">
      <w:pPr>
        <w:ind w:firstLine="400"/>
        <w:jc w:val="both"/>
        <w:rPr>
          <w:rFonts w:cs="Times New Roman"/>
        </w:rPr>
      </w:pPr>
      <w:proofErr w:type="gramStart"/>
      <w:r w:rsidRPr="00445013">
        <w:rPr>
          <w:rStyle w:val="s0"/>
        </w:rPr>
        <w:t>6</w:t>
      </w:r>
      <w:r w:rsidR="007223B9" w:rsidRPr="00445013">
        <w:rPr>
          <w:rStyle w:val="s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7223B9" w:rsidRPr="00445013">
        <w:rPr>
          <w:rStyle w:val="s0"/>
        </w:rPr>
        <w:t xml:space="preserve"> медицинского страхования.</w:t>
      </w:r>
    </w:p>
    <w:p w:rsidR="007223B9" w:rsidRPr="00445013" w:rsidRDefault="007223B9" w:rsidP="0048597F">
      <w:pPr>
        <w:jc w:val="both"/>
        <w:rPr>
          <w:rFonts w:cs="Times New Roman"/>
        </w:rPr>
      </w:pPr>
      <w:r w:rsidRPr="00445013">
        <w:rPr>
          <w:rStyle w:val="s0"/>
          <w:color w:val="auto"/>
        </w:rPr>
        <w:t>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223B9" w:rsidRPr="00445013" w:rsidRDefault="007223B9" w:rsidP="0048597F">
      <w:pPr>
        <w:ind w:firstLine="400"/>
        <w:jc w:val="both"/>
        <w:rPr>
          <w:rFonts w:cs="Times New Roman"/>
        </w:rPr>
      </w:pPr>
      <w:r w:rsidRPr="00445013">
        <w:rPr>
          <w:rStyle w:val="s0"/>
          <w:color w:val="auto"/>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10" w:history="1">
        <w:r w:rsidRPr="00445013">
          <w:rPr>
            <w:rStyle w:val="a4"/>
            <w:rFonts w:cs="Times New Roman"/>
            <w:color w:val="auto"/>
          </w:rPr>
          <w:t>Законом</w:t>
        </w:r>
      </w:hyperlink>
      <w:r w:rsidRPr="00445013">
        <w:rPr>
          <w:rStyle w:val="s0"/>
          <w:color w:val="auto"/>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7223B9" w:rsidRPr="00445013" w:rsidRDefault="007223B9" w:rsidP="0048597F">
      <w:pPr>
        <w:ind w:firstLine="400"/>
        <w:jc w:val="both"/>
        <w:rPr>
          <w:rFonts w:cs="Times New Roman"/>
        </w:rPr>
      </w:pPr>
      <w:r w:rsidRPr="00445013">
        <w:rPr>
          <w:rStyle w:val="s0"/>
          <w:color w:val="auto"/>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223B9" w:rsidRPr="00445013" w:rsidRDefault="007223B9" w:rsidP="0048597F">
      <w:pPr>
        <w:ind w:firstLine="400"/>
        <w:jc w:val="both"/>
        <w:rPr>
          <w:rFonts w:cs="Times New Roman"/>
        </w:rPr>
      </w:pPr>
      <w:r w:rsidRPr="00445013">
        <w:rPr>
          <w:rStyle w:val="s0"/>
          <w:color w:val="auto"/>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223B9" w:rsidRPr="00445013" w:rsidRDefault="007223B9" w:rsidP="0048597F">
      <w:pPr>
        <w:ind w:firstLine="400"/>
        <w:jc w:val="both"/>
        <w:rPr>
          <w:rFonts w:cs="Times New Roman"/>
        </w:rPr>
      </w:pPr>
      <w:r w:rsidRPr="00445013">
        <w:rPr>
          <w:rStyle w:val="s0"/>
          <w:color w:val="auto"/>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223B9" w:rsidRPr="00445013" w:rsidRDefault="007223B9" w:rsidP="0048597F">
      <w:pPr>
        <w:ind w:firstLine="400"/>
        <w:jc w:val="both"/>
        <w:rPr>
          <w:rFonts w:cs="Times New Roman"/>
        </w:rPr>
      </w:pPr>
      <w:r w:rsidRPr="00445013">
        <w:rPr>
          <w:rStyle w:val="s0"/>
          <w:color w:val="auto"/>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7223B9" w:rsidRPr="00445013" w:rsidRDefault="007223B9" w:rsidP="0048597F">
      <w:pPr>
        <w:ind w:firstLine="400"/>
        <w:jc w:val="both"/>
        <w:rPr>
          <w:rFonts w:cs="Times New Roman"/>
        </w:rPr>
      </w:pPr>
      <w:proofErr w:type="gramStart"/>
      <w:r w:rsidRPr="00445013">
        <w:rPr>
          <w:rStyle w:val="s0"/>
          <w:color w:val="auto"/>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445013">
        <w:rPr>
          <w:rStyle w:val="s0"/>
          <w:color w:val="auto"/>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7223B9" w:rsidRPr="00445013" w:rsidRDefault="007223B9" w:rsidP="0048597F">
      <w:pPr>
        <w:ind w:firstLine="400"/>
        <w:jc w:val="both"/>
        <w:rPr>
          <w:rFonts w:cs="Times New Roman"/>
        </w:rPr>
      </w:pPr>
      <w:r w:rsidRPr="00445013">
        <w:rPr>
          <w:rStyle w:val="s0"/>
          <w:color w:val="auto"/>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223B9" w:rsidRPr="00445013" w:rsidRDefault="007223B9" w:rsidP="0048597F">
      <w:pPr>
        <w:ind w:firstLine="400"/>
        <w:jc w:val="both"/>
        <w:rPr>
          <w:rFonts w:cs="Times New Roman"/>
        </w:rPr>
      </w:pPr>
      <w:r w:rsidRPr="00445013">
        <w:rPr>
          <w:rStyle w:val="s0"/>
          <w:color w:val="auto"/>
        </w:rPr>
        <w:t xml:space="preserve">8) документы, подтверждающие соответствие потенциального поставщика </w:t>
      </w:r>
      <w:r w:rsidRPr="00445013">
        <w:rPr>
          <w:rStyle w:val="s0"/>
          <w:color w:val="auto"/>
        </w:rPr>
        <w:lastRenderedPageBreak/>
        <w:t xml:space="preserve">квалификационным требованиям, установленным </w:t>
      </w:r>
      <w:hyperlink w:anchor="sub1300" w:history="1">
        <w:r w:rsidRPr="00445013">
          <w:rPr>
            <w:rStyle w:val="a4"/>
            <w:rFonts w:cs="Times New Roman"/>
            <w:color w:val="auto"/>
          </w:rPr>
          <w:t>пунктом 13</w:t>
        </w:r>
      </w:hyperlink>
      <w:r w:rsidRPr="00445013">
        <w:rPr>
          <w:rStyle w:val="s0"/>
          <w:color w:val="auto"/>
        </w:rPr>
        <w:t xml:space="preserve"> настоящих Правил;</w:t>
      </w:r>
    </w:p>
    <w:p w:rsidR="007223B9" w:rsidRPr="00445013" w:rsidRDefault="007223B9" w:rsidP="0048597F">
      <w:pPr>
        <w:ind w:firstLine="400"/>
        <w:jc w:val="both"/>
        <w:rPr>
          <w:rFonts w:cs="Times New Roman"/>
        </w:rPr>
      </w:pPr>
      <w:r w:rsidRPr="00445013">
        <w:rPr>
          <w:rStyle w:val="s0"/>
          <w:color w:val="auto"/>
        </w:rPr>
        <w:t xml:space="preserve">9) 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445013">
          <w:rPr>
            <w:rStyle w:val="a4"/>
            <w:rFonts w:cs="Times New Roman"/>
            <w:color w:val="auto"/>
          </w:rPr>
          <w:t>пунктом 14</w:t>
        </w:r>
      </w:hyperlink>
      <w:r w:rsidRPr="00445013">
        <w:rPr>
          <w:rStyle w:val="s0"/>
          <w:color w:val="auto"/>
        </w:rPr>
        <w:t xml:space="preserve"> настоящих Правил.</w:t>
      </w:r>
    </w:p>
    <w:p w:rsidR="007223B9" w:rsidRPr="00445013" w:rsidRDefault="007223B9" w:rsidP="0048597F">
      <w:pPr>
        <w:ind w:firstLine="400"/>
        <w:jc w:val="both"/>
        <w:rPr>
          <w:rFonts w:cs="Times New Roman"/>
        </w:rPr>
      </w:pPr>
      <w:r w:rsidRPr="00445013">
        <w:rPr>
          <w:rStyle w:val="s0"/>
          <w:color w:val="auto"/>
        </w:rPr>
        <w:t>В случае несоответствия победителя квалификационным требованиям, закуп способом ценовых предложений признается несостоявшимся.</w:t>
      </w:r>
    </w:p>
    <w:p w:rsidR="0080080F" w:rsidRPr="00980552" w:rsidRDefault="0080080F" w:rsidP="0048597F">
      <w:pPr>
        <w:jc w:val="both"/>
        <w:rPr>
          <w:rFonts w:cs="Times New Roman"/>
          <w:sz w:val="22"/>
          <w:szCs w:val="22"/>
        </w:rPr>
      </w:pPr>
    </w:p>
    <w:p w:rsidR="009710A9" w:rsidRPr="00980552" w:rsidRDefault="009710A9" w:rsidP="0048597F">
      <w:pPr>
        <w:rPr>
          <w:rFonts w:cs="Times New Roman"/>
          <w:b/>
          <w:sz w:val="22"/>
          <w:szCs w:val="22"/>
        </w:rPr>
      </w:pPr>
    </w:p>
    <w:p w:rsidR="009710A9" w:rsidRPr="00445013" w:rsidRDefault="009710A9" w:rsidP="0048597F">
      <w:pPr>
        <w:rPr>
          <w:rFonts w:cs="Times New Roman"/>
          <w:b/>
        </w:rPr>
      </w:pPr>
    </w:p>
    <w:p w:rsidR="00445013" w:rsidRDefault="0080080F" w:rsidP="0048597F">
      <w:pPr>
        <w:rPr>
          <w:rFonts w:cs="Times New Roman"/>
          <w:b/>
        </w:rPr>
      </w:pPr>
      <w:r w:rsidRPr="00445013">
        <w:rPr>
          <w:rFonts w:cs="Times New Roman"/>
          <w:b/>
        </w:rPr>
        <w:t>Начальник</w:t>
      </w:r>
    </w:p>
    <w:p w:rsidR="0080080F" w:rsidRPr="00445013" w:rsidRDefault="0080080F" w:rsidP="0048597F">
      <w:pPr>
        <w:rPr>
          <w:rFonts w:cs="Times New Roman"/>
          <w:b/>
        </w:rPr>
      </w:pPr>
      <w:r w:rsidRPr="00445013">
        <w:rPr>
          <w:rFonts w:cs="Times New Roman"/>
          <w:b/>
        </w:rPr>
        <w:t>отдела по государственным закупкам</w:t>
      </w:r>
      <w:r w:rsidRPr="00445013">
        <w:rPr>
          <w:rFonts w:cs="Times New Roman"/>
          <w:b/>
        </w:rPr>
        <w:tab/>
      </w:r>
      <w:r w:rsidR="00445013">
        <w:rPr>
          <w:rFonts w:cs="Times New Roman"/>
          <w:b/>
        </w:rPr>
        <w:tab/>
      </w:r>
      <w:r w:rsidRPr="00445013">
        <w:rPr>
          <w:rFonts w:cs="Times New Roman"/>
          <w:b/>
        </w:rPr>
        <w:tab/>
      </w:r>
      <w:r w:rsidRPr="00445013">
        <w:rPr>
          <w:rFonts w:cs="Times New Roman"/>
          <w:b/>
        </w:rPr>
        <w:tab/>
      </w:r>
      <w:proofErr w:type="spellStart"/>
      <w:r w:rsidRPr="00445013">
        <w:rPr>
          <w:rFonts w:cs="Times New Roman"/>
          <w:b/>
        </w:rPr>
        <w:t>Мукажанова</w:t>
      </w:r>
      <w:proofErr w:type="spellEnd"/>
      <w:r w:rsidRPr="00445013">
        <w:rPr>
          <w:rFonts w:cs="Times New Roman"/>
          <w:b/>
        </w:rPr>
        <w:t xml:space="preserve"> Н.М.</w:t>
      </w:r>
    </w:p>
    <w:p w:rsidR="0080080F" w:rsidRPr="00445013" w:rsidRDefault="00445013" w:rsidP="0048597F">
      <w:pPr>
        <w:rPr>
          <w:rFonts w:cs="Times New Roman"/>
        </w:rPr>
      </w:pPr>
      <w:r>
        <w:rPr>
          <w:rFonts w:cs="Times New Roman"/>
        </w:rPr>
        <w:tab/>
      </w:r>
      <w:r>
        <w:rPr>
          <w:rFonts w:cs="Times New Roman"/>
        </w:rPr>
        <w:tab/>
      </w:r>
    </w:p>
    <w:p w:rsidR="009710A9" w:rsidRPr="00445013" w:rsidRDefault="009710A9" w:rsidP="0048597F">
      <w:pPr>
        <w:rPr>
          <w:rFonts w:cs="Times New Roman"/>
          <w:i/>
        </w:rPr>
      </w:pPr>
    </w:p>
    <w:p w:rsidR="00C62BA3" w:rsidRPr="00980552" w:rsidRDefault="00C62BA3" w:rsidP="0048597F">
      <w:pPr>
        <w:rPr>
          <w:rFonts w:cs="Times New Roman"/>
          <w:i/>
          <w:sz w:val="22"/>
          <w:szCs w:val="22"/>
        </w:rPr>
      </w:pPr>
    </w:p>
    <w:p w:rsidR="0080080F" w:rsidRPr="00445013" w:rsidRDefault="001811AD" w:rsidP="0048597F">
      <w:pPr>
        <w:rPr>
          <w:rFonts w:cs="Times New Roman"/>
          <w:sz w:val="20"/>
          <w:szCs w:val="20"/>
        </w:rPr>
      </w:pPr>
      <w:r w:rsidRPr="00445013">
        <w:rPr>
          <w:rFonts w:cs="Times New Roman"/>
          <w:i/>
          <w:sz w:val="20"/>
          <w:szCs w:val="20"/>
        </w:rPr>
        <w:t>Исп</w:t>
      </w:r>
      <w:r w:rsidR="003469CF" w:rsidRPr="00445013">
        <w:rPr>
          <w:rFonts w:cs="Times New Roman"/>
          <w:i/>
          <w:sz w:val="20"/>
          <w:szCs w:val="20"/>
        </w:rPr>
        <w:t>.</w:t>
      </w:r>
      <w:r w:rsidR="00694C51" w:rsidRPr="00445013">
        <w:rPr>
          <w:rFonts w:cs="Times New Roman"/>
          <w:i/>
          <w:sz w:val="20"/>
          <w:szCs w:val="20"/>
        </w:rPr>
        <w:t xml:space="preserve"> </w:t>
      </w:r>
      <w:proofErr w:type="spellStart"/>
      <w:r w:rsidR="00694C51" w:rsidRPr="00445013">
        <w:rPr>
          <w:rFonts w:cs="Times New Roman"/>
          <w:i/>
          <w:sz w:val="20"/>
          <w:szCs w:val="20"/>
        </w:rPr>
        <w:t>Жанабайкызы</w:t>
      </w:r>
      <w:proofErr w:type="spellEnd"/>
      <w:r w:rsidR="00694C51" w:rsidRPr="00445013">
        <w:rPr>
          <w:rFonts w:cs="Times New Roman"/>
          <w:i/>
          <w:sz w:val="20"/>
          <w:szCs w:val="20"/>
        </w:rPr>
        <w:t xml:space="preserve"> К.</w:t>
      </w:r>
    </w:p>
    <w:p w:rsidR="0086053E" w:rsidRPr="00445013" w:rsidRDefault="0080080F" w:rsidP="0048597F">
      <w:pPr>
        <w:rPr>
          <w:rFonts w:cs="Times New Roman"/>
          <w:sz w:val="20"/>
          <w:szCs w:val="20"/>
        </w:rPr>
      </w:pPr>
      <w:r w:rsidRPr="00445013">
        <w:rPr>
          <w:rFonts w:cs="Times New Roman"/>
          <w:i/>
          <w:sz w:val="20"/>
          <w:szCs w:val="20"/>
        </w:rPr>
        <w:t>8-727-278-04-44</w:t>
      </w:r>
    </w:p>
    <w:sectPr w:rsidR="0086053E" w:rsidRPr="00445013"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24D58"/>
    <w:rsid w:val="00125CFE"/>
    <w:rsid w:val="00166458"/>
    <w:rsid w:val="00172BC0"/>
    <w:rsid w:val="001765DD"/>
    <w:rsid w:val="001811AD"/>
    <w:rsid w:val="00192B85"/>
    <w:rsid w:val="00194E07"/>
    <w:rsid w:val="001A4CE2"/>
    <w:rsid w:val="001B489C"/>
    <w:rsid w:val="001E7B7D"/>
    <w:rsid w:val="001F24FA"/>
    <w:rsid w:val="00207730"/>
    <w:rsid w:val="00211EE7"/>
    <w:rsid w:val="00232F07"/>
    <w:rsid w:val="00290C95"/>
    <w:rsid w:val="0029734F"/>
    <w:rsid w:val="002A308A"/>
    <w:rsid w:val="002B2BC2"/>
    <w:rsid w:val="002C27C8"/>
    <w:rsid w:val="002F2B60"/>
    <w:rsid w:val="00302081"/>
    <w:rsid w:val="003129AC"/>
    <w:rsid w:val="00317477"/>
    <w:rsid w:val="00324425"/>
    <w:rsid w:val="003249AB"/>
    <w:rsid w:val="0033085D"/>
    <w:rsid w:val="003347CB"/>
    <w:rsid w:val="00340217"/>
    <w:rsid w:val="003469CF"/>
    <w:rsid w:val="003556EC"/>
    <w:rsid w:val="003D3A04"/>
    <w:rsid w:val="003F4CF1"/>
    <w:rsid w:val="0040414C"/>
    <w:rsid w:val="00410D0B"/>
    <w:rsid w:val="00445013"/>
    <w:rsid w:val="00451346"/>
    <w:rsid w:val="004610F5"/>
    <w:rsid w:val="00477377"/>
    <w:rsid w:val="0048407F"/>
    <w:rsid w:val="0048597F"/>
    <w:rsid w:val="004A27C1"/>
    <w:rsid w:val="004D03BF"/>
    <w:rsid w:val="004E4A3A"/>
    <w:rsid w:val="00562323"/>
    <w:rsid w:val="0058073F"/>
    <w:rsid w:val="005973CB"/>
    <w:rsid w:val="005A3BA9"/>
    <w:rsid w:val="005F237D"/>
    <w:rsid w:val="00651F5D"/>
    <w:rsid w:val="00653A61"/>
    <w:rsid w:val="00666AAF"/>
    <w:rsid w:val="00694C51"/>
    <w:rsid w:val="006B7388"/>
    <w:rsid w:val="006F0BB2"/>
    <w:rsid w:val="00701661"/>
    <w:rsid w:val="007043A3"/>
    <w:rsid w:val="00721326"/>
    <w:rsid w:val="007223B9"/>
    <w:rsid w:val="00726042"/>
    <w:rsid w:val="00737B3F"/>
    <w:rsid w:val="007500B0"/>
    <w:rsid w:val="00762AF4"/>
    <w:rsid w:val="007773A2"/>
    <w:rsid w:val="00791186"/>
    <w:rsid w:val="007D3FAC"/>
    <w:rsid w:val="007D4CE6"/>
    <w:rsid w:val="007D6ED1"/>
    <w:rsid w:val="007D726A"/>
    <w:rsid w:val="007D7F11"/>
    <w:rsid w:val="0080080F"/>
    <w:rsid w:val="0085067F"/>
    <w:rsid w:val="00854526"/>
    <w:rsid w:val="0086053E"/>
    <w:rsid w:val="008D65C8"/>
    <w:rsid w:val="008E4F23"/>
    <w:rsid w:val="0090711C"/>
    <w:rsid w:val="00946F21"/>
    <w:rsid w:val="00956B72"/>
    <w:rsid w:val="009676AE"/>
    <w:rsid w:val="009710A9"/>
    <w:rsid w:val="00980552"/>
    <w:rsid w:val="0098596C"/>
    <w:rsid w:val="009A5CCA"/>
    <w:rsid w:val="009A7FA5"/>
    <w:rsid w:val="009B6D94"/>
    <w:rsid w:val="009C67CD"/>
    <w:rsid w:val="009D2607"/>
    <w:rsid w:val="009D4260"/>
    <w:rsid w:val="009F6A07"/>
    <w:rsid w:val="00A10B87"/>
    <w:rsid w:val="00A10E7C"/>
    <w:rsid w:val="00A144EC"/>
    <w:rsid w:val="00A22D44"/>
    <w:rsid w:val="00A332A8"/>
    <w:rsid w:val="00A4250E"/>
    <w:rsid w:val="00A46BA5"/>
    <w:rsid w:val="00A534D2"/>
    <w:rsid w:val="00A85D9B"/>
    <w:rsid w:val="00A966A6"/>
    <w:rsid w:val="00AA1CC0"/>
    <w:rsid w:val="00AA2089"/>
    <w:rsid w:val="00AF5191"/>
    <w:rsid w:val="00B14976"/>
    <w:rsid w:val="00B2441D"/>
    <w:rsid w:val="00B2483B"/>
    <w:rsid w:val="00B25283"/>
    <w:rsid w:val="00B27751"/>
    <w:rsid w:val="00B85056"/>
    <w:rsid w:val="00BA038D"/>
    <w:rsid w:val="00C331C4"/>
    <w:rsid w:val="00C352D3"/>
    <w:rsid w:val="00C54F8E"/>
    <w:rsid w:val="00C554E1"/>
    <w:rsid w:val="00C62BA3"/>
    <w:rsid w:val="00C81528"/>
    <w:rsid w:val="00C9554B"/>
    <w:rsid w:val="00CA25CE"/>
    <w:rsid w:val="00CC269A"/>
    <w:rsid w:val="00CD1603"/>
    <w:rsid w:val="00CD1C30"/>
    <w:rsid w:val="00D02C77"/>
    <w:rsid w:val="00D02D36"/>
    <w:rsid w:val="00D041CB"/>
    <w:rsid w:val="00D076A3"/>
    <w:rsid w:val="00D1690C"/>
    <w:rsid w:val="00D262CA"/>
    <w:rsid w:val="00D41CE0"/>
    <w:rsid w:val="00D53757"/>
    <w:rsid w:val="00D62F31"/>
    <w:rsid w:val="00D757F8"/>
    <w:rsid w:val="00D9500F"/>
    <w:rsid w:val="00DA0726"/>
    <w:rsid w:val="00DA785A"/>
    <w:rsid w:val="00DC09CA"/>
    <w:rsid w:val="00DC56C3"/>
    <w:rsid w:val="00E11270"/>
    <w:rsid w:val="00E20FFC"/>
    <w:rsid w:val="00E240B7"/>
    <w:rsid w:val="00E3492F"/>
    <w:rsid w:val="00E85795"/>
    <w:rsid w:val="00E9429A"/>
    <w:rsid w:val="00E95BC4"/>
    <w:rsid w:val="00EA5A05"/>
    <w:rsid w:val="00EB4EF3"/>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2540407">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4830" TargetMode="External"/><Relationship Id="rId3" Type="http://schemas.openxmlformats.org/officeDocument/2006/relationships/styles" Target="styles.xml"/><Relationship Id="rId7" Type="http://schemas.openxmlformats.org/officeDocument/2006/relationships/hyperlink" Target="mailto:2792240@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4004077" TargetMode="External"/><Relationship Id="rId4" Type="http://schemas.microsoft.com/office/2007/relationships/stylesWithEffects" Target="stylesWithEffects.xml"/><Relationship Id="rId9" Type="http://schemas.openxmlformats.org/officeDocument/2006/relationships/hyperlink" Target="http:///online.zakon.kz/Document/?link_id=100465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2F6B-9DC7-4B64-B4F5-A91B70A8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7</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100</cp:revision>
  <cp:lastPrinted>2021-04-02T10:17:00Z</cp:lastPrinted>
  <dcterms:created xsi:type="dcterms:W3CDTF">2019-01-15T05:22:00Z</dcterms:created>
  <dcterms:modified xsi:type="dcterms:W3CDTF">2021-04-02T10:29:00Z</dcterms:modified>
</cp:coreProperties>
</file>