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 xml:space="preserve">о проведении </w:t>
      </w:r>
      <w:r w:rsidR="00D91E54" w:rsidRPr="00D91E54">
        <w:rPr>
          <w:rFonts w:cs="Times New Roman"/>
          <w:b/>
          <w:u w:val="single"/>
        </w:rPr>
        <w:t>повторного</w:t>
      </w:r>
      <w:r w:rsidR="00D91E54">
        <w:rPr>
          <w:rFonts w:cs="Times New Roman"/>
          <w:b/>
        </w:rPr>
        <w:t xml:space="preserve"> </w:t>
      </w:r>
      <w:r w:rsidRPr="001A504D">
        <w:rPr>
          <w:rFonts w:cs="Times New Roman"/>
          <w:b/>
        </w:rPr>
        <w:t>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575946" w:rsidRPr="00575946">
        <w:rPr>
          <w:rFonts w:cs="Times New Roman"/>
          <w:b/>
          <w:lang w:val="kk-KZ"/>
        </w:rPr>
        <w:t xml:space="preserve"> интервенционной хирургии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D91E54">
        <w:rPr>
          <w:rFonts w:cs="Times New Roman"/>
          <w:lang w:val="kk-KZ"/>
        </w:rPr>
        <w:t>23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111"/>
        <w:gridCol w:w="992"/>
        <w:gridCol w:w="821"/>
        <w:gridCol w:w="1447"/>
        <w:gridCol w:w="1418"/>
      </w:tblGrid>
      <w:tr w:rsidR="00AC7465" w:rsidRPr="00AC7465" w:rsidTr="00D91E5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Опциональный фильтр из нержавеющей стали (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фильтр)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Опциональный фильтр из нержавеющей стали 316 LVM: с возможностью как постоянной, так и временной имплантации (без ограничения времени для удаления), конической формы с двумя разными уровнями. Верхний (фиксирующий) уровень, состоящий из шести коротких ножек, с дистальными концами в форме крючков, обеспечивающих активное закрепление и нижний (центрирующий) уровень, состоящий из трех длинных ножек, две из них с филированными </w:t>
            </w:r>
            <w:proofErr w:type="spellStart"/>
            <w:r>
              <w:rPr>
                <w:sz w:val="20"/>
                <w:szCs w:val="20"/>
              </w:rPr>
              <w:t>атравматичными</w:t>
            </w:r>
            <w:proofErr w:type="spellEnd"/>
            <w:r>
              <w:rPr>
                <w:sz w:val="20"/>
                <w:szCs w:val="20"/>
              </w:rPr>
              <w:t xml:space="preserve"> для сосудов концами, а третья имеет на конце петлю, позволяющую проталкивать фильтр при имплантации </w:t>
            </w:r>
            <w:proofErr w:type="spellStart"/>
            <w:r>
              <w:rPr>
                <w:sz w:val="20"/>
                <w:szCs w:val="20"/>
              </w:rPr>
              <w:t>феморальным</w:t>
            </w:r>
            <w:proofErr w:type="spellEnd"/>
            <w:r>
              <w:rPr>
                <w:sz w:val="20"/>
                <w:szCs w:val="20"/>
              </w:rPr>
              <w:t xml:space="preserve"> и подколенным доступом. Ножки разной длины для предотвращения их перекрещивания. </w:t>
            </w:r>
            <w:proofErr w:type="gramStart"/>
            <w:r>
              <w:rPr>
                <w:sz w:val="20"/>
                <w:szCs w:val="20"/>
              </w:rPr>
              <w:t>Немагнитный</w:t>
            </w:r>
            <w:proofErr w:type="gramEnd"/>
            <w:r>
              <w:rPr>
                <w:sz w:val="20"/>
                <w:szCs w:val="20"/>
              </w:rPr>
              <w:t xml:space="preserve">, условно совместимый с МРТ до 3 Тесла. Отсутствие спаек при соединении ножек, уменьшающее риск излома. </w:t>
            </w:r>
            <w:proofErr w:type="gramStart"/>
            <w:r>
              <w:rPr>
                <w:sz w:val="20"/>
                <w:szCs w:val="20"/>
              </w:rPr>
              <w:t>Устойчив</w:t>
            </w:r>
            <w:proofErr w:type="gramEnd"/>
            <w:r>
              <w:rPr>
                <w:sz w:val="20"/>
                <w:szCs w:val="20"/>
              </w:rPr>
              <w:t xml:space="preserve"> к коррозии, обеспечивает минимальную турбулентность при кровотоке. Высота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- 55 мм, вес - менее 1 грамма, диаметр ножек 0,3 мм. Фильтр подходит для полой вены размером в диаметре до 32 мм. (</w:t>
            </w:r>
            <w:proofErr w:type="gramStart"/>
            <w:r>
              <w:rPr>
                <w:sz w:val="20"/>
                <w:szCs w:val="20"/>
              </w:rPr>
              <w:t>СЕ-маркировка</w:t>
            </w:r>
            <w:proofErr w:type="gramEnd"/>
            <w:r>
              <w:rPr>
                <w:sz w:val="20"/>
                <w:szCs w:val="20"/>
              </w:rPr>
              <w:t xml:space="preserve">). Установка возможна 4-мя доступами: </w:t>
            </w:r>
            <w:proofErr w:type="spellStart"/>
            <w:r>
              <w:rPr>
                <w:sz w:val="20"/>
                <w:szCs w:val="20"/>
              </w:rPr>
              <w:t>Югулярным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Феморальным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Брахиальным</w:t>
            </w:r>
            <w:proofErr w:type="spellEnd"/>
            <w:r>
              <w:rPr>
                <w:sz w:val="20"/>
                <w:szCs w:val="20"/>
              </w:rPr>
              <w:t xml:space="preserve"> и Подколенным. Поставляется в развернутом виде в колбе с системой </w:t>
            </w:r>
            <w:proofErr w:type="spellStart"/>
            <w:r>
              <w:rPr>
                <w:sz w:val="20"/>
                <w:szCs w:val="20"/>
              </w:rPr>
              <w:t>Люер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во избежание </w:t>
            </w:r>
            <w:proofErr w:type="spellStart"/>
            <w:r>
              <w:rPr>
                <w:sz w:val="20"/>
                <w:szCs w:val="20"/>
              </w:rPr>
              <w:t>нераскрытия</w:t>
            </w:r>
            <w:proofErr w:type="spellEnd"/>
            <w:r>
              <w:rPr>
                <w:sz w:val="20"/>
                <w:szCs w:val="20"/>
              </w:rPr>
              <w:t xml:space="preserve"> фильтра в ходе процедуры. Цветная маркировка для различных видов доступа. Компле</w:t>
            </w:r>
            <w:proofErr w:type="gramStart"/>
            <w:r>
              <w:rPr>
                <w:sz w:val="20"/>
                <w:szCs w:val="20"/>
              </w:rPr>
              <w:t>кт вкл</w:t>
            </w:r>
            <w:proofErr w:type="gramEnd"/>
            <w:r>
              <w:rPr>
                <w:sz w:val="20"/>
                <w:szCs w:val="20"/>
              </w:rPr>
              <w:t>ючает в себя катетер-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7F с </w:t>
            </w:r>
            <w:proofErr w:type="spellStart"/>
            <w:r>
              <w:rPr>
                <w:sz w:val="20"/>
                <w:szCs w:val="20"/>
              </w:rPr>
              <w:t>рентгеноконтрастной</w:t>
            </w:r>
            <w:proofErr w:type="spellEnd"/>
            <w:r>
              <w:rPr>
                <w:sz w:val="20"/>
                <w:szCs w:val="20"/>
              </w:rPr>
              <w:t xml:space="preserve"> меткой, расширитель, доставляющий катетер, пункционную иглу 17G и J-образный проводник .035”, 9F, 150/180см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364 495,00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1 093 485,00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Периферический баллонный катетер с лекарственным покрытием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Баллонный</w:t>
            </w:r>
            <w:proofErr w:type="gramEnd"/>
            <w:r>
              <w:rPr>
                <w:sz w:val="20"/>
                <w:szCs w:val="20"/>
              </w:rPr>
              <w:t xml:space="preserve"> периферический </w:t>
            </w:r>
            <w:proofErr w:type="spellStart"/>
            <w:r>
              <w:rPr>
                <w:sz w:val="20"/>
                <w:szCs w:val="20"/>
              </w:rPr>
              <w:t>дилятационный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катетерс</w:t>
            </w:r>
            <w:proofErr w:type="spellEnd"/>
            <w:r>
              <w:rPr>
                <w:sz w:val="20"/>
                <w:szCs w:val="20"/>
              </w:rPr>
              <w:t xml:space="preserve"> лекарственным покрытием.  Назначение: для проведения </w:t>
            </w:r>
            <w:proofErr w:type="spellStart"/>
            <w:r>
              <w:rPr>
                <w:sz w:val="20"/>
                <w:szCs w:val="20"/>
              </w:rPr>
              <w:t>дилятации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переферических</w:t>
            </w:r>
            <w:proofErr w:type="spellEnd"/>
            <w:r>
              <w:rPr>
                <w:sz w:val="20"/>
                <w:szCs w:val="20"/>
              </w:rPr>
              <w:t xml:space="preserve"> артерий.  Типоразмеры: диаметр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 5; 6; 7; 8 мм длина (мм) 20; 40; 60; 80, 100, 120, 150 мм.  Лекарственное покрытие: наличие кристаллов </w:t>
            </w:r>
            <w:proofErr w:type="spellStart"/>
            <w:r>
              <w:rPr>
                <w:sz w:val="20"/>
                <w:szCs w:val="20"/>
              </w:rPr>
              <w:t>паклитакселя</w:t>
            </w:r>
            <w:proofErr w:type="spellEnd"/>
            <w:r>
              <w:rPr>
                <w:sz w:val="20"/>
                <w:szCs w:val="20"/>
              </w:rPr>
              <w:t xml:space="preserve">, заключенных в </w:t>
            </w:r>
            <w:proofErr w:type="spellStart"/>
            <w:r>
              <w:rPr>
                <w:sz w:val="20"/>
                <w:szCs w:val="20"/>
              </w:rPr>
              <w:t>нанопорах</w:t>
            </w:r>
            <w:proofErr w:type="spellEnd"/>
            <w:r>
              <w:rPr>
                <w:sz w:val="20"/>
                <w:szCs w:val="20"/>
              </w:rPr>
              <w:t xml:space="preserve"> полимерной плёнки, из которой изготовлен баллон. </w:t>
            </w:r>
            <w:proofErr w:type="spellStart"/>
            <w:r>
              <w:rPr>
                <w:sz w:val="20"/>
                <w:szCs w:val="20"/>
              </w:rPr>
              <w:t>Паклитаксел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нанесен</w:t>
            </w:r>
            <w:proofErr w:type="gramEnd"/>
            <w:r>
              <w:rPr>
                <w:sz w:val="20"/>
                <w:szCs w:val="20"/>
              </w:rPr>
              <w:t xml:space="preserve"> на поверхность баллона в смеси с природным шеллаком по технологии, защищенной патентом.  Материал баллона – полиамид.  Возможность использования проводникового катетера с внутренним диаметром 5Fr и 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Размер проводника 0,035” (0,91 мм).  Наличие рабочей длины катетера 135 см, длина быстрой замены 80 см.  Наличие гидрофильного покрытия. Диаметр </w:t>
            </w:r>
            <w:proofErr w:type="gramStart"/>
            <w:r>
              <w:rPr>
                <w:sz w:val="20"/>
                <w:szCs w:val="20"/>
              </w:rPr>
              <w:t>проксимального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 1,9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, диаметр дистального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 2,6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 Наличие платиново-иридиевых </w:t>
            </w:r>
            <w:proofErr w:type="spellStart"/>
            <w:r>
              <w:rPr>
                <w:sz w:val="20"/>
                <w:szCs w:val="20"/>
              </w:rPr>
              <w:t>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меток. Номинальное давление 6 </w:t>
            </w:r>
            <w:proofErr w:type="spellStart"/>
            <w:r>
              <w:rPr>
                <w:sz w:val="20"/>
                <w:szCs w:val="20"/>
              </w:rPr>
              <w:t>atm</w:t>
            </w:r>
            <w:proofErr w:type="spellEnd"/>
            <w:r>
              <w:rPr>
                <w:sz w:val="20"/>
                <w:szCs w:val="20"/>
              </w:rPr>
              <w:t xml:space="preserve">, среднее давление разрыва 16 </w:t>
            </w:r>
            <w:proofErr w:type="spellStart"/>
            <w:r>
              <w:rPr>
                <w:sz w:val="20"/>
                <w:szCs w:val="20"/>
              </w:rPr>
              <w:t>atm</w:t>
            </w:r>
            <w:proofErr w:type="spellEnd"/>
            <w:r>
              <w:rPr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1 024 975,00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конической формы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специальной конической формы с синтетическими волокнами.  Для катетеров с просветом .018”, .035”. Возможность открытия “острым” концом вперед и основанием вперед. МРТ-совместимые. Длина и диаметр спирали по заказу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67 842,00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1 424 682,00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цилиндрической  формы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цилиндрической  формы с синтетическими волокнами.  Для катетеров с просветом .018”, .035”. МРТ-совместимые. Длина и диаметр спирали  по заказу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67 842,00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407 052,00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D91E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Аспирационный катетер для коронарных и периферических сосудов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стилетом. Двойной просвет катетера - для проводника и аспирации. Совместим с проводником 0.014 (0,36мм). Максимальный размер аспирационного просвета 0.068”/1.73mm. Рабочая длина катетера не менее 140cm. Катетер проводится про </w:t>
            </w:r>
            <w:proofErr w:type="spellStart"/>
            <w:r>
              <w:rPr>
                <w:sz w:val="20"/>
                <w:szCs w:val="20"/>
              </w:rPr>
              <w:t>гайду</w:t>
            </w:r>
            <w:proofErr w:type="spellEnd"/>
            <w:r>
              <w:rPr>
                <w:sz w:val="20"/>
                <w:szCs w:val="20"/>
              </w:rPr>
              <w:t xml:space="preserve"> 6F с просветом не менее 0.070”/1.78mm. Аспирационный объем катетер не менее 1.56 х 10-3 кв. дюймов. Наличие </w:t>
            </w:r>
            <w:proofErr w:type="spellStart"/>
            <w:r>
              <w:rPr>
                <w:sz w:val="20"/>
                <w:szCs w:val="20"/>
              </w:rPr>
              <w:t>рентгеноконтрастной</w:t>
            </w:r>
            <w:proofErr w:type="spellEnd"/>
            <w:r>
              <w:rPr>
                <w:sz w:val="20"/>
                <w:szCs w:val="20"/>
              </w:rPr>
              <w:t xml:space="preserve"> метки на расстоянии 2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от дистального конца. Наличие трех (3) </w:t>
            </w:r>
            <w:proofErr w:type="spellStart"/>
            <w:r>
              <w:rPr>
                <w:sz w:val="20"/>
                <w:szCs w:val="20"/>
              </w:rPr>
              <w:t>нерентгеноконтрастных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меток на расстоянии 90cm, 100cm, и 110cm от дистального края. Гидрофильное покрытие </w:t>
            </w:r>
            <w:proofErr w:type="gramStart"/>
            <w:r>
              <w:rPr>
                <w:sz w:val="20"/>
                <w:szCs w:val="20"/>
              </w:rPr>
              <w:t>дистальных</w:t>
            </w:r>
            <w:proofErr w:type="gramEnd"/>
            <w:r>
              <w:rPr>
                <w:sz w:val="20"/>
                <w:szCs w:val="20"/>
              </w:rPr>
              <w:t xml:space="preserve"> 20см. Длина катетера быстрой замены 12см. Материал катетера снаружи - нейлон и </w:t>
            </w:r>
            <w:proofErr w:type="spellStart"/>
            <w:r>
              <w:rPr>
                <w:sz w:val="20"/>
                <w:szCs w:val="20"/>
              </w:rPr>
              <w:t>пебакс</w:t>
            </w:r>
            <w:proofErr w:type="spellEnd"/>
            <w:r>
              <w:rPr>
                <w:sz w:val="20"/>
                <w:szCs w:val="20"/>
              </w:rPr>
              <w:t xml:space="preserve">, внутри политетрафторэтилен. Наличие оплетки из нержавеющей стали 139см. В состав набора входят: катетер аспирационный (1), шприцы 30 мл для аспирации (2шт), помпа (шприц) для промывания объемом 4мл (1шт) с оранжевым поршнем, фильтры-корзинки с </w:t>
            </w:r>
            <w:r>
              <w:rPr>
                <w:sz w:val="20"/>
                <w:szCs w:val="20"/>
              </w:rPr>
              <w:lastRenderedPageBreak/>
              <w:t>размером пор не более 70микрон (2шт), емкость для сбора жидкости объемом 60 мл (1шт), линия с трехстворчатым краником на конце длиной 21.5см (1шт)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674 500,00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 супер жесткий, диагностический для интервенционных сердечно сосудистых процедур. Размеры по заявке Заказчика. 0.018", 0.035", 0.038" длина 150, 180 и 260 см.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Проводник для интервенционных </w:t>
            </w:r>
            <w:proofErr w:type="gramStart"/>
            <w:r>
              <w:rPr>
                <w:sz w:val="20"/>
                <w:szCs w:val="20"/>
              </w:rPr>
              <w:t>сердечно-сосудистых</w:t>
            </w:r>
            <w:proofErr w:type="gramEnd"/>
            <w:r>
              <w:rPr>
                <w:sz w:val="20"/>
                <w:szCs w:val="20"/>
              </w:rPr>
              <w:t xml:space="preserve"> процедур, интервенции желчных путей, дренирование абсцесса, </w:t>
            </w:r>
            <w:proofErr w:type="spellStart"/>
            <w:r>
              <w:rPr>
                <w:sz w:val="20"/>
                <w:szCs w:val="20"/>
              </w:rPr>
              <w:t>урорадиологические</w:t>
            </w:r>
            <w:proofErr w:type="spellEnd"/>
            <w:r>
              <w:rPr>
                <w:sz w:val="20"/>
                <w:szCs w:val="20"/>
              </w:rPr>
              <w:t xml:space="preserve"> вмешательства и замены катетеров при различных процедурах ангиографии. Материал – нержавеющая сталь, PTFE-покрытие.,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stiff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stiff</w:t>
            </w:r>
            <w:proofErr w:type="spellEnd"/>
            <w:r>
              <w:rPr>
                <w:sz w:val="20"/>
                <w:szCs w:val="20"/>
              </w:rPr>
              <w:t>. Характеристики: нержавеющая сталь. PTFE-покрытие снаружи для обеспечения гладкости. Мягкий кончик прямой или J-изогнутый, причем  J-загиб имеет различный радиус. Наличие мягкого кончика различной длины (10 см и 12 см), диаметр:  0.035" и 0.038". Длина: 150см, 180см, 260см.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10-полюсных катетеров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sz w:val="20"/>
                <w:szCs w:val="20"/>
              </w:rPr>
              <w:t>неменее</w:t>
            </w:r>
            <w:proofErr w:type="spellEnd"/>
            <w:r>
              <w:rPr>
                <w:sz w:val="20"/>
                <w:szCs w:val="20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20"/>
                <w:szCs w:val="20"/>
              </w:rPr>
              <w:t>контаков</w:t>
            </w:r>
            <w:proofErr w:type="spellEnd"/>
            <w:r>
              <w:rPr>
                <w:sz w:val="20"/>
                <w:szCs w:val="20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. 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для подключения внешних стимуляторов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подключения внешних стимуляторов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282 500,00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для  4-х полюсного диагностического катетера  1,8 м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 - неменее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>
              <w:rPr>
                <w:sz w:val="20"/>
                <w:szCs w:val="20"/>
              </w:rPr>
              <w:br/>
              <w:t xml:space="preserve">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.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20"/>
                <w:szCs w:val="20"/>
              </w:rPr>
              <w:t>катетора</w:t>
            </w:r>
            <w:proofErr w:type="spellEnd"/>
            <w:r>
              <w:rPr>
                <w:sz w:val="20"/>
                <w:szCs w:val="20"/>
              </w:rPr>
              <w:t xml:space="preserve"> 1,8 м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 - неменее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автоматической инициализации диагностического электрода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Кабели для циркулярного диагностического навигационного электрода для устьев </w:t>
            </w:r>
            <w:r>
              <w:rPr>
                <w:color w:val="000000"/>
                <w:sz w:val="20"/>
                <w:szCs w:val="20"/>
              </w:rPr>
              <w:lastRenderedPageBreak/>
              <w:t>легочных вен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1 470 000,00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навигационных катетеров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закрытия места пункции с помощью лигатуры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Ушивающее устройство для механического </w:t>
            </w:r>
            <w:proofErr w:type="spellStart"/>
            <w:r>
              <w:rPr>
                <w:sz w:val="20"/>
                <w:szCs w:val="20"/>
              </w:rPr>
              <w:t>ушивания</w:t>
            </w:r>
            <w:proofErr w:type="spellEnd"/>
            <w:r>
              <w:rPr>
                <w:sz w:val="20"/>
                <w:szCs w:val="20"/>
              </w:rPr>
              <w:t xml:space="preserve"> пункционного отверстия в сосудистой стенке с помощью лигатуры. Используемый шовный материал: </w:t>
            </w:r>
            <w:proofErr w:type="spellStart"/>
            <w:r>
              <w:rPr>
                <w:sz w:val="20"/>
                <w:szCs w:val="20"/>
              </w:rPr>
              <w:t>пролен</w:t>
            </w:r>
            <w:proofErr w:type="spellEnd"/>
            <w:r>
              <w:rPr>
                <w:sz w:val="20"/>
                <w:szCs w:val="20"/>
              </w:rPr>
              <w:t xml:space="preserve"> 000. Диаметр устройства не более 6F. Рабочий диапазон пункционных отверстий: 5-8F. Упаковка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коробке. Каждое устройство в индивидуальной стерильной упаковке. Инструмент для затягивания узла и обрезания лигатуры (триммер) в комплекте.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1 370 000,00   </w:t>
            </w:r>
          </w:p>
        </w:tc>
      </w:tr>
      <w:tr w:rsidR="00E6333E" w:rsidRPr="00AC7465" w:rsidTr="00D91E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D91E54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ирригационных трубок  </w:t>
            </w:r>
            <w:proofErr w:type="spellStart"/>
            <w:r>
              <w:rPr>
                <w:sz w:val="20"/>
                <w:szCs w:val="20"/>
              </w:rPr>
              <w:t>CoolFlow</w:t>
            </w:r>
            <w:proofErr w:type="spellEnd"/>
            <w:r>
              <w:rPr>
                <w:sz w:val="20"/>
                <w:szCs w:val="20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4111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ирригационных трубок  </w:t>
            </w:r>
            <w:proofErr w:type="spellStart"/>
            <w:r>
              <w:rPr>
                <w:sz w:val="20"/>
                <w:szCs w:val="20"/>
              </w:rPr>
              <w:t>CoolFlow</w:t>
            </w:r>
            <w:proofErr w:type="spellEnd"/>
            <w:r>
              <w:rPr>
                <w:sz w:val="20"/>
                <w:szCs w:val="20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D91E54">
        <w:t>13 775 194</w:t>
      </w:r>
      <w:r w:rsidR="00E6333E">
        <w:t>,</w:t>
      </w:r>
      <w:r w:rsidR="00CF0FBC" w:rsidRPr="00575946">
        <w:rPr>
          <w:rFonts w:eastAsia="Times New Roman" w:cs="Times New Roman"/>
          <w:kern w:val="0"/>
          <w:lang w:eastAsia="ru-RU" w:bidi="ar-SA"/>
        </w:rPr>
        <w:t>00</w:t>
      </w:r>
      <w:r w:rsidR="0048597F" w:rsidRPr="00575946">
        <w:t xml:space="preserve"> (</w:t>
      </w:r>
      <w:r w:rsidR="00D91E54">
        <w:t>тринадцать миллионов семьсот семьдесят пять тысяч сто девяносто четыре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D91E54">
        <w:rPr>
          <w:rFonts w:cs="Times New Roman"/>
          <w:lang w:val="kk-KZ"/>
        </w:rPr>
        <w:t>03</w:t>
      </w:r>
      <w:r w:rsidRPr="001A504D">
        <w:rPr>
          <w:rFonts w:cs="Times New Roman"/>
        </w:rPr>
        <w:t>.</w:t>
      </w:r>
      <w:r w:rsidR="00D91E54">
        <w:rPr>
          <w:rFonts w:cs="Times New Roman"/>
        </w:rPr>
        <w:t>03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D91E54">
        <w:rPr>
          <w:rFonts w:cs="Times New Roman"/>
          <w:lang w:val="kk-KZ"/>
        </w:rPr>
        <w:t>03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575946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E6333E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D91E54" w:rsidRDefault="0080080F" w:rsidP="0048597F">
      <w:pPr>
        <w:ind w:firstLine="708"/>
        <w:jc w:val="both"/>
        <w:rPr>
          <w:rFonts w:cs="Times New Roman"/>
          <w:b/>
          <w:sz w:val="23"/>
          <w:szCs w:val="23"/>
        </w:rPr>
      </w:pPr>
      <w:r w:rsidRPr="00D91E54">
        <w:rPr>
          <w:rFonts w:cs="Times New Roman"/>
          <w:b/>
          <w:sz w:val="23"/>
          <w:szCs w:val="23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91E54">
        <w:rPr>
          <w:rFonts w:cs="Times New Roman"/>
          <w:b/>
          <w:sz w:val="23"/>
          <w:szCs w:val="23"/>
        </w:rPr>
        <w:t xml:space="preserve">пки, наименование </w:t>
      </w:r>
      <w:r w:rsidR="0032207B" w:rsidRPr="00D91E54">
        <w:rPr>
          <w:rFonts w:cs="Times New Roman"/>
          <w:b/>
          <w:sz w:val="23"/>
          <w:szCs w:val="23"/>
        </w:rPr>
        <w:t xml:space="preserve">и юридический адрес </w:t>
      </w:r>
      <w:r w:rsidR="00562323" w:rsidRPr="00D91E54">
        <w:rPr>
          <w:rFonts w:cs="Times New Roman"/>
          <w:b/>
          <w:sz w:val="23"/>
          <w:szCs w:val="23"/>
        </w:rPr>
        <w:t>Поставщика</w:t>
      </w:r>
      <w:r w:rsidR="0032207B" w:rsidRPr="00D91E54">
        <w:rPr>
          <w:rFonts w:cs="Times New Roman"/>
          <w:b/>
          <w:sz w:val="23"/>
          <w:szCs w:val="23"/>
        </w:rPr>
        <w:t>, Организатора (Заказчика)</w:t>
      </w:r>
      <w:r w:rsidRPr="00D91E54">
        <w:rPr>
          <w:rFonts w:cs="Times New Roman"/>
          <w:b/>
          <w:sz w:val="23"/>
          <w:szCs w:val="23"/>
        </w:rPr>
        <w:t>.</w:t>
      </w:r>
    </w:p>
    <w:p w:rsidR="009D2E50" w:rsidRPr="00D91E54" w:rsidRDefault="009D2E50" w:rsidP="009D2E50">
      <w:pPr>
        <w:ind w:firstLine="708"/>
        <w:jc w:val="both"/>
        <w:rPr>
          <w:sz w:val="23"/>
          <w:szCs w:val="23"/>
        </w:rPr>
      </w:pPr>
      <w:bookmarkStart w:id="0" w:name="z374"/>
      <w:bookmarkStart w:id="1" w:name="z375"/>
      <w:r w:rsidRPr="00D91E54">
        <w:rPr>
          <w:color w:val="000000"/>
          <w:sz w:val="23"/>
          <w:szCs w:val="23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91E54">
        <w:rPr>
          <w:color w:val="000000"/>
          <w:sz w:val="23"/>
          <w:szCs w:val="23"/>
        </w:rPr>
        <w:t xml:space="preserve">по форме, </w:t>
      </w:r>
      <w:r w:rsidR="00E4253F" w:rsidRPr="00D91E54">
        <w:rPr>
          <w:sz w:val="23"/>
          <w:szCs w:val="23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91E54">
        <w:rPr>
          <w:sz w:val="23"/>
          <w:szCs w:val="23"/>
        </w:rPr>
        <w:t>Р</w:t>
      </w:r>
      <w:proofErr w:type="gramEnd"/>
      <w:r w:rsidR="00E4253F" w:rsidRPr="00D91E54">
        <w:rPr>
          <w:sz w:val="23"/>
          <w:szCs w:val="23"/>
        </w:rPr>
        <w:t xml:space="preserve"> ДСМ -113 (далее – форма)</w:t>
      </w:r>
      <w:r w:rsidRPr="00D91E54">
        <w:rPr>
          <w:color w:val="000000"/>
          <w:sz w:val="23"/>
          <w:szCs w:val="23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D91E54" w:rsidRDefault="009D2E50" w:rsidP="009D2E50">
      <w:pPr>
        <w:ind w:firstLine="708"/>
        <w:jc w:val="both"/>
        <w:rPr>
          <w:sz w:val="23"/>
          <w:szCs w:val="23"/>
        </w:rPr>
      </w:pPr>
      <w:r w:rsidRPr="00D91E54">
        <w:rPr>
          <w:color w:val="000000"/>
          <w:sz w:val="23"/>
          <w:szCs w:val="23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2" w:name="z386"/>
      <w:bookmarkEnd w:id="1"/>
      <w:r w:rsidRPr="00D91E54">
        <w:rPr>
          <w:color w:val="000000"/>
          <w:sz w:val="23"/>
          <w:szCs w:val="23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91E54" w:rsidRDefault="00E4253F" w:rsidP="00E4253F">
      <w:pPr>
        <w:jc w:val="both"/>
        <w:rPr>
          <w:sz w:val="23"/>
          <w:szCs w:val="23"/>
        </w:rPr>
      </w:pPr>
      <w:bookmarkStart w:id="3" w:name="z383"/>
      <w:r w:rsidRPr="00D91E54">
        <w:rPr>
          <w:color w:val="000000"/>
          <w:sz w:val="23"/>
          <w:szCs w:val="23"/>
        </w:rPr>
        <w:t xml:space="preserve">      В случаях представления одинаковых ценовых предложений, победителем признается </w:t>
      </w:r>
      <w:r w:rsidRPr="00D91E54">
        <w:rPr>
          <w:color w:val="000000"/>
          <w:sz w:val="23"/>
          <w:szCs w:val="23"/>
        </w:rPr>
        <w:lastRenderedPageBreak/>
        <w:t>потенциальный поставщик, первым представивший ценовое предложение.</w:t>
      </w:r>
    </w:p>
    <w:p w:rsidR="00E4253F" w:rsidRPr="00D91E54" w:rsidRDefault="00E4253F" w:rsidP="00E4253F">
      <w:pPr>
        <w:jc w:val="both"/>
        <w:rPr>
          <w:sz w:val="23"/>
          <w:szCs w:val="23"/>
        </w:rPr>
      </w:pPr>
      <w:bookmarkStart w:id="4" w:name="z384"/>
      <w:bookmarkEnd w:id="3"/>
      <w:r w:rsidRPr="00D91E54">
        <w:rPr>
          <w:color w:val="000000"/>
          <w:sz w:val="23"/>
          <w:szCs w:val="23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91E54" w:rsidRDefault="00E4253F" w:rsidP="00E4253F">
      <w:pPr>
        <w:ind w:firstLine="708"/>
        <w:jc w:val="both"/>
        <w:rPr>
          <w:b/>
          <w:sz w:val="23"/>
          <w:szCs w:val="23"/>
        </w:rPr>
      </w:pPr>
      <w:bookmarkStart w:id="5" w:name="z394"/>
      <w:bookmarkEnd w:id="2"/>
      <w:bookmarkEnd w:id="4"/>
      <w:r w:rsidRPr="00D91E54">
        <w:rPr>
          <w:b/>
          <w:color w:val="000000"/>
          <w:sz w:val="23"/>
          <w:szCs w:val="23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6" w:name="z387"/>
      <w:proofErr w:type="gramStart"/>
      <w:r w:rsidRPr="00D91E54">
        <w:rPr>
          <w:color w:val="000000"/>
          <w:sz w:val="23"/>
          <w:szCs w:val="23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1E54">
        <w:rPr>
          <w:color w:val="000000"/>
          <w:sz w:val="23"/>
          <w:szCs w:val="23"/>
        </w:rPr>
        <w:t>прекурсоров</w:t>
      </w:r>
      <w:proofErr w:type="spellEnd"/>
      <w:r w:rsidRPr="00D91E54">
        <w:rPr>
          <w:color w:val="000000"/>
          <w:sz w:val="23"/>
          <w:szCs w:val="23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91E54">
        <w:rPr>
          <w:color w:val="000000"/>
          <w:sz w:val="23"/>
          <w:szCs w:val="23"/>
        </w:rPr>
        <w:t xml:space="preserve"> </w:t>
      </w:r>
      <w:proofErr w:type="gramStart"/>
      <w:r w:rsidRPr="00D91E54">
        <w:rPr>
          <w:color w:val="000000"/>
          <w:sz w:val="23"/>
          <w:szCs w:val="23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1E54">
        <w:rPr>
          <w:color w:val="000000"/>
          <w:sz w:val="23"/>
          <w:szCs w:val="23"/>
        </w:rPr>
        <w:t>прекурсоров</w:t>
      </w:r>
      <w:proofErr w:type="spellEnd"/>
      <w:r w:rsidRPr="00D91E54">
        <w:rPr>
          <w:color w:val="000000"/>
          <w:sz w:val="23"/>
          <w:szCs w:val="23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7" w:name="z388"/>
      <w:bookmarkEnd w:id="6"/>
      <w:r w:rsidRPr="00D91E54">
        <w:rPr>
          <w:color w:val="000000"/>
          <w:sz w:val="23"/>
          <w:szCs w:val="23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8" w:name="z389"/>
      <w:bookmarkEnd w:id="7"/>
      <w:r w:rsidRPr="00D91E54">
        <w:rPr>
          <w:color w:val="000000"/>
          <w:sz w:val="23"/>
          <w:szCs w:val="23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9" w:name="z390"/>
      <w:bookmarkEnd w:id="8"/>
      <w:r w:rsidRPr="00D91E54">
        <w:rPr>
          <w:color w:val="000000"/>
          <w:sz w:val="23"/>
          <w:szCs w:val="23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10" w:name="z391"/>
      <w:bookmarkEnd w:id="9"/>
      <w:r w:rsidRPr="00D91E54">
        <w:rPr>
          <w:color w:val="000000"/>
          <w:sz w:val="23"/>
          <w:szCs w:val="23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11" w:name="z392"/>
      <w:bookmarkEnd w:id="10"/>
      <w:r w:rsidRPr="00D91E54">
        <w:rPr>
          <w:color w:val="000000"/>
          <w:sz w:val="23"/>
          <w:szCs w:val="23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r w:rsidRPr="00D91E54">
        <w:rPr>
          <w:color w:val="000000"/>
          <w:sz w:val="23"/>
          <w:szCs w:val="23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r w:rsidRPr="00D91E54">
        <w:rPr>
          <w:color w:val="000000"/>
          <w:sz w:val="23"/>
          <w:szCs w:val="23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91E54" w:rsidRDefault="00E4253F" w:rsidP="00E4253F">
      <w:pPr>
        <w:ind w:firstLine="708"/>
        <w:jc w:val="both"/>
        <w:rPr>
          <w:sz w:val="23"/>
          <w:szCs w:val="23"/>
        </w:rPr>
      </w:pPr>
      <w:bookmarkStart w:id="12" w:name="z398"/>
      <w:r w:rsidRPr="00D91E54">
        <w:rPr>
          <w:color w:val="000000"/>
          <w:sz w:val="23"/>
          <w:szCs w:val="23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2"/>
    <w:p w:rsidR="00E4253F" w:rsidRPr="00D91E54" w:rsidRDefault="00E4253F" w:rsidP="0048597F">
      <w:pPr>
        <w:jc w:val="both"/>
        <w:rPr>
          <w:rFonts w:cs="Times New Roman"/>
          <w:sz w:val="23"/>
          <w:szCs w:val="23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  <w:bookmarkStart w:id="13" w:name="_GoBack"/>
      <w:bookmarkEnd w:id="13"/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8657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05F06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1E54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6333E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7BC6-2FE1-4956-85A3-39F91894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2022-02-24T13:26:00Z</cp:lastPrinted>
  <dcterms:created xsi:type="dcterms:W3CDTF">2022-02-24T13:21:00Z</dcterms:created>
  <dcterms:modified xsi:type="dcterms:W3CDTF">2022-02-24T13:26:00Z</dcterms:modified>
</cp:coreProperties>
</file>