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390325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39032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Объявления</w:t>
      </w:r>
    </w:p>
    <w:p w:rsidR="00D02D36" w:rsidRPr="0039032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о проведении закупа спос</w:t>
      </w:r>
      <w:r w:rsidR="00E4253F" w:rsidRPr="00390325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390325" w:rsidRDefault="00E4253F" w:rsidP="0048597F">
      <w:pPr>
        <w:jc w:val="center"/>
        <w:rPr>
          <w:rFonts w:cs="Times New Roman"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390325" w:rsidRDefault="0080080F" w:rsidP="0048597F">
      <w:pPr>
        <w:rPr>
          <w:rFonts w:cs="Times New Roman"/>
          <w:sz w:val="22"/>
          <w:szCs w:val="22"/>
        </w:rPr>
      </w:pPr>
      <w:proofErr w:type="spellStart"/>
      <w:r w:rsidRPr="00390325">
        <w:rPr>
          <w:rFonts w:cs="Times New Roman"/>
          <w:sz w:val="22"/>
          <w:szCs w:val="22"/>
        </w:rPr>
        <w:t>г</w:t>
      </w:r>
      <w:proofErr w:type="gramStart"/>
      <w:r w:rsidRPr="00390325">
        <w:rPr>
          <w:rFonts w:cs="Times New Roman"/>
          <w:sz w:val="22"/>
          <w:szCs w:val="22"/>
        </w:rPr>
        <w:t>.А</w:t>
      </w:r>
      <w:proofErr w:type="gramEnd"/>
      <w:r w:rsidRPr="00390325">
        <w:rPr>
          <w:rFonts w:cs="Times New Roman"/>
          <w:sz w:val="22"/>
          <w:szCs w:val="22"/>
        </w:rPr>
        <w:t>лматы</w:t>
      </w:r>
      <w:proofErr w:type="spellEnd"/>
      <w:r w:rsidRPr="00390325">
        <w:rPr>
          <w:rFonts w:cs="Times New Roman"/>
          <w:sz w:val="22"/>
          <w:szCs w:val="22"/>
        </w:rPr>
        <w:t xml:space="preserve"> </w:t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ab/>
      </w:r>
      <w:r w:rsidR="00562323" w:rsidRPr="00390325">
        <w:rPr>
          <w:rFonts w:cs="Times New Roman"/>
          <w:sz w:val="22"/>
          <w:szCs w:val="22"/>
        </w:rPr>
        <w:tab/>
      </w:r>
      <w:r w:rsidR="00562323" w:rsidRPr="00390325">
        <w:rPr>
          <w:rFonts w:cs="Times New Roman"/>
          <w:sz w:val="22"/>
          <w:szCs w:val="22"/>
        </w:rPr>
        <w:tab/>
      </w:r>
      <w:r w:rsidRPr="00390325">
        <w:rPr>
          <w:rFonts w:cs="Times New Roman"/>
          <w:sz w:val="22"/>
          <w:szCs w:val="22"/>
        </w:rPr>
        <w:t xml:space="preserve"> «</w:t>
      </w:r>
      <w:r w:rsidR="00390325">
        <w:rPr>
          <w:rFonts w:cs="Times New Roman"/>
          <w:sz w:val="22"/>
          <w:szCs w:val="22"/>
          <w:lang w:val="kk-KZ"/>
        </w:rPr>
        <w:t>22</w:t>
      </w:r>
      <w:r w:rsidRPr="00390325">
        <w:rPr>
          <w:rFonts w:cs="Times New Roman"/>
          <w:sz w:val="22"/>
          <w:szCs w:val="22"/>
        </w:rPr>
        <w:t xml:space="preserve">» </w:t>
      </w:r>
      <w:r w:rsidR="000F2EE3" w:rsidRPr="00390325">
        <w:rPr>
          <w:rFonts w:cs="Times New Roman"/>
          <w:sz w:val="22"/>
          <w:szCs w:val="22"/>
        </w:rPr>
        <w:t>апреля</w:t>
      </w:r>
      <w:r w:rsidR="000E770C" w:rsidRPr="00390325">
        <w:rPr>
          <w:rFonts w:cs="Times New Roman"/>
          <w:sz w:val="22"/>
          <w:szCs w:val="22"/>
        </w:rPr>
        <w:t xml:space="preserve"> </w:t>
      </w:r>
      <w:r w:rsidR="00F1687D" w:rsidRPr="00390325">
        <w:rPr>
          <w:rFonts w:cs="Times New Roman"/>
          <w:sz w:val="22"/>
          <w:szCs w:val="22"/>
        </w:rPr>
        <w:t>202</w:t>
      </w:r>
      <w:r w:rsidR="009D2E50" w:rsidRPr="00390325">
        <w:rPr>
          <w:rFonts w:cs="Times New Roman"/>
          <w:sz w:val="22"/>
          <w:szCs w:val="22"/>
        </w:rPr>
        <w:t>2</w:t>
      </w:r>
      <w:r w:rsidRPr="00390325">
        <w:rPr>
          <w:rFonts w:cs="Times New Roman"/>
          <w:sz w:val="22"/>
          <w:szCs w:val="22"/>
        </w:rPr>
        <w:t xml:space="preserve"> года</w:t>
      </w:r>
    </w:p>
    <w:p w:rsidR="00D53757" w:rsidRPr="00390325" w:rsidRDefault="00D53757" w:rsidP="0048597F">
      <w:pPr>
        <w:rPr>
          <w:rFonts w:cs="Times New Roman"/>
          <w:sz w:val="22"/>
          <w:szCs w:val="22"/>
        </w:rPr>
      </w:pPr>
    </w:p>
    <w:p w:rsidR="00410D0B" w:rsidRPr="00390325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39032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390325">
        <w:rPr>
          <w:rFonts w:cs="Times New Roman"/>
          <w:sz w:val="22"/>
          <w:szCs w:val="22"/>
        </w:rPr>
        <w:t>Сызганова</w:t>
      </w:r>
      <w:proofErr w:type="spellEnd"/>
      <w:r w:rsidRPr="00390325">
        <w:rPr>
          <w:rFonts w:cs="Times New Roman"/>
          <w:sz w:val="22"/>
          <w:szCs w:val="22"/>
        </w:rPr>
        <w:t xml:space="preserve">» в соответствии с </w:t>
      </w:r>
      <w:r w:rsidR="00F1687D" w:rsidRPr="00390325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390325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390325">
        <w:rPr>
          <w:rStyle w:val="s1"/>
          <w:b w:val="0"/>
          <w:sz w:val="22"/>
          <w:szCs w:val="22"/>
        </w:rPr>
        <w:t xml:space="preserve"> </w:t>
      </w:r>
      <w:r w:rsidR="00F1687D" w:rsidRPr="00390325">
        <w:rPr>
          <w:rStyle w:val="s1"/>
          <w:sz w:val="22"/>
          <w:szCs w:val="22"/>
        </w:rPr>
        <w:t>«</w:t>
      </w:r>
      <w:r w:rsidR="0063768C" w:rsidRPr="00390325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390325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390325">
        <w:rPr>
          <w:rStyle w:val="s1"/>
          <w:sz w:val="22"/>
          <w:szCs w:val="22"/>
        </w:rPr>
        <w:t>»</w:t>
      </w:r>
      <w:r w:rsidR="00F1687D" w:rsidRPr="00390325">
        <w:rPr>
          <w:rStyle w:val="s1"/>
          <w:b w:val="0"/>
          <w:sz w:val="22"/>
          <w:szCs w:val="22"/>
        </w:rPr>
        <w:t xml:space="preserve"> </w:t>
      </w:r>
      <w:r w:rsidRPr="00390325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390325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>Организатор</w:t>
      </w:r>
      <w:r w:rsidR="0032207B" w:rsidRPr="00390325">
        <w:rPr>
          <w:rFonts w:cs="Times New Roman"/>
          <w:sz w:val="22"/>
          <w:szCs w:val="22"/>
        </w:rPr>
        <w:t xml:space="preserve"> (Заказчик)</w:t>
      </w:r>
      <w:r w:rsidRPr="00390325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390325">
        <w:rPr>
          <w:rFonts w:cs="Times New Roman"/>
          <w:sz w:val="22"/>
          <w:szCs w:val="22"/>
        </w:rPr>
        <w:t>Сызганова</w:t>
      </w:r>
      <w:proofErr w:type="spellEnd"/>
      <w:r w:rsidRPr="00390325">
        <w:rPr>
          <w:rFonts w:cs="Times New Roman"/>
          <w:sz w:val="22"/>
          <w:szCs w:val="22"/>
        </w:rPr>
        <w:t>»</w:t>
      </w:r>
      <w:r w:rsidR="0032207B" w:rsidRPr="00390325">
        <w:rPr>
          <w:rFonts w:cs="Times New Roman"/>
          <w:sz w:val="22"/>
          <w:szCs w:val="22"/>
        </w:rPr>
        <w:t xml:space="preserve"> </w:t>
      </w:r>
      <w:r w:rsidR="009D2E50"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39032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39032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9032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390325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39032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39032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39032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39032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2835"/>
        <w:gridCol w:w="992"/>
        <w:gridCol w:w="992"/>
        <w:gridCol w:w="1134"/>
        <w:gridCol w:w="1560"/>
      </w:tblGrid>
      <w:tr w:rsidR="00AC7465" w:rsidRPr="00A81E46" w:rsidTr="00A81E4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81E46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81E46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A81E46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81E46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A81E46" w:rsidRDefault="00AB39AA" w:rsidP="00A81E46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7465" w:rsidRPr="00A81E46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81E46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81E46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81E46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81E46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81E46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A81E46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81E46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465" w:rsidRPr="00A81E46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81E46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Периферический баллонный катетер с лекарственным покрытием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A81E46">
              <w:rPr>
                <w:rFonts w:cs="Times New Roman"/>
                <w:sz w:val="18"/>
                <w:szCs w:val="18"/>
              </w:rPr>
              <w:t>Баллонный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 периферический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дилятационный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катетерс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лекарственным покрытием.  Назначение: для проведения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дилятации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переферических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артерий.  Типоразмеры: диаметр (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мм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) 5; 6; 7; 8 мм длина (мм) 20; 40; 60; 80, 100, 120, 150 мм.  Лекарственное покрытие: наличие кристаллов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паклитакселя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, заключенных в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нанопорах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полимерной плёнки, из которой изготовлен баллон.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Паклитаксел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нанесен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 на поверхность баллона в смеси с природным шеллаком по технологии, защищенной патентом.  Материал баллона – полиамид.  Возможность использования проводникового катетера с внутренним диаметром 5Fr и 6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 Размер проводника 0,035” (0,91 мм).  Наличие рабочей длины катетера 135 см, длина быстрой замены 80 см.  Наличие гидрофильного покрытия. Диаметр 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проксимального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шафта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1,9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, диаметр дистального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шафта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2,6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Fr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  Наличие платиново-иридиевых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рентгеноконтрастных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меток. Номинальное давление 6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atm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, среднее давление разрыва 16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atm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A81E46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274 000,00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1 370 000,00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Аспирационный катетер для коронарных и периферических сосудов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Катетер аспирационный для удаления мягких тромбов из просвета коронарных и периферических сосудов с проводниковым стилетом. Двойной просвет катетера - для проводника и аспирации. Совместим с проводником 0.014 (0,36мм). Максимальный размер аспирационного просвета 0.068”/1.73mm. Рабочая длина катетера не менее 140cm. Катетер проводится про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гайду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6F с </w:t>
            </w:r>
            <w:r w:rsidRPr="00A81E46">
              <w:rPr>
                <w:rFonts w:cs="Times New Roman"/>
                <w:sz w:val="18"/>
                <w:szCs w:val="18"/>
              </w:rPr>
              <w:lastRenderedPageBreak/>
              <w:t xml:space="preserve">просветом не менее 0.070”/1.78mm. Аспирационный объем катетер не менее 1.56 х 10-3 кв. дюймов. Наличие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рентгеноконтрастной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метки на расстоянии 2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mm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от дистального конца. Наличие трех (3)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нерентгеноконтрастных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меток на расстоянии 90cm, 100cm, и 110cm от дистального края. Гидрофильное покрытие 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дистальных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 20см. Длина катетера быстрой замены 12см. Материал катетера снаружи - нейлон и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пебакс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, внутри политетрафторэтилен. Наличие оплетки из нержавеющей стали 139см. В состав набора входят: катетер аспирационный (1), шприцы 30 мл для аспирации (2шт), помпа (шприц) для промывания объемом 4мл (1шт) с оранжевым поршнем, фильтры-корзинки с размером пор не более 70микрон (2шт), емкость для сбора жидкости объемом 60 мл (1шт), линия с трехстворчатым краником на конце длиной 21.5см (1шт)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240 550,00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1 202 750,00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Проводник супер жесткий, диагностический для интервенционных сердечно сосудистых процедур. Размеры по заявке Заказчика. 0.018", 0.035", 0.038" длина 150, 180 и 260 см.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Проводник для интервенционных 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сердечно-сосудистых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 процедур, интервенции желчных путей, дренирование абсцесса,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урорадиологические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вмешательства и замены катетеров при различных процедурах ангиографии. Материал – нержавеющая сталь, PTFE-покрытие.,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Super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stiff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extra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super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stiff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. Характеристики: нержавеющая сталь. PTFE-покрытие снаружи для обеспечения гладкости. Мягкий кончик прямой или J-изогнутый, причем  J-загиб имеет различный радиус. Наличие мягкого кончика различной длины (10 см и 12 см), диаметр:  0.035" и 0.038". Длина: 150см, 180см, 260см. Размер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A81E46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33,00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35 000,00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1 155 000,00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Кабель для 10-полюсных катетеров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контаков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,  Кабель должен быть стерилен.  Кабель должен быть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. 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435 000,00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870 000,00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Кабель для  4-х полюсного диагностического катетера  1,8 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Длина кабеля - неменее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4-контаков. Кабель должен быть стерилен. Кабель должен быть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.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232 000,00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928 000,00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Кабель для 10-полюсного диагностического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катетора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1,8 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Длина кабеля - неменее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10-контаков, </w:t>
            </w:r>
            <w:r w:rsidRPr="00A81E46">
              <w:rPr>
                <w:rFonts w:cs="Times New Roman"/>
                <w:sz w:val="18"/>
                <w:szCs w:val="18"/>
              </w:rPr>
              <w:lastRenderedPageBreak/>
              <w:t xml:space="preserve">Кабель должен быть стерилен, Кабель должен быть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232 000,00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2 320 000,00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Кабель для автоматической инициализации диагностического электрода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34 -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контаков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435 000,00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1 305 000,00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Кабель для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аблационного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катетера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400 000,00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800 000,00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Кабели для циркулярного диагностического навигационного электрода для устьев легочных вен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3 м, Разъем со стороны катетера – не менее 34 - контактов, со стороны системы – не менее 34 -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контаков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717 300,00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2 151 900,00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Кабель для навигационных катетеров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3 м, Разъем со стороны катетера – не менее 25 - контактов, со стороны системы – не менее 34-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контаков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687 500,00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687 500,00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Сосудистые петли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Сосудистые петли - 100% медицинский силикон, мягкий и гладкий материал. Силикон рентген контрастный. Не впитывает жидкость. Нетоксичен и не содержит латекс. Размер 2,5х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,0 мм, длина петли 450 мм. Силиконовые рентген контрастные держатели для выделения сосудов, артерий, вен, сухожилий и нервов, мочеточника и других тканей во время операции. Доступен в трех цветах: синий, красный, желтый. Стерильная упаковка, в упаковке содержится 2 шт. Метод стерилизации: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этиленоксидом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1 450,00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59 450,00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81E46">
              <w:rPr>
                <w:rFonts w:cs="Times New Roman"/>
                <w:sz w:val="18"/>
                <w:szCs w:val="18"/>
              </w:rPr>
              <w:t>Эндопротез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сетчатый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 полипропилен-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поливинилиденфторидный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для хирургического лечения недержания мочи у женщин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81E46">
              <w:rPr>
                <w:rFonts w:cs="Times New Roman"/>
                <w:sz w:val="18"/>
                <w:szCs w:val="18"/>
              </w:rPr>
              <w:t>Эндопротез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сетчатый полипропилен-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поливинилиденфторидный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для хирургического лечения недержания мочи у женщин с петлями размером (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мм</w:t>
            </w:r>
            <w:proofErr w:type="gramEnd"/>
            <w:r w:rsidRPr="00A81E46">
              <w:rPr>
                <w:rFonts w:cs="Times New Roman"/>
                <w:sz w:val="18"/>
                <w:szCs w:val="18"/>
              </w:rPr>
              <w:t>): (11+2) х (300+ -10), (11+ - 2) х (500+ -10)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139 000,00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556 000,00</w:t>
            </w:r>
          </w:p>
        </w:tc>
      </w:tr>
      <w:tr w:rsidR="00A81E46" w:rsidRPr="00A81E46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A81E46">
              <w:rPr>
                <w:rFonts w:cs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Спицы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Киршнера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для экстрамедуллярного остеосинтеза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 xml:space="preserve">Спица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Киршнера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с перьевой заточкой – Спица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Киршнера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диаметром 0,8мм; 1,0мм; 1,2мм; 1,5мм; 1,6мм; 1,8мм; 2,0мм; 2,2мм; 2,5мм и 3,0мм,  длиной </w:t>
            </w:r>
            <w:r w:rsidRPr="00A81E46">
              <w:rPr>
                <w:rFonts w:cs="Times New Roman"/>
                <w:sz w:val="18"/>
                <w:szCs w:val="18"/>
              </w:rPr>
              <w:lastRenderedPageBreak/>
              <w:t xml:space="preserve">210мм. Остриё сверху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сплащено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, кончик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перьевидный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 Хвостовик расширяется до размера 3,1мм в ширину и сужен на толщине до 0,7мм.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Si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- 1,0%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Mn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- 2,0%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., P - 0,025%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., S - 0,01%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., N - 0,1%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ma</w:t>
            </w:r>
            <w:proofErr w:type="gramStart"/>
            <w:r w:rsidRPr="00A81E46">
              <w:rPr>
                <w:rFonts w:cs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A81E46">
              <w:rPr>
                <w:rFonts w:cs="Times New Roman"/>
                <w:sz w:val="18"/>
                <w:szCs w:val="18"/>
              </w:rPr>
              <w:t xml:space="preserve">.,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Cr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- 17, 0 - 19,0%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Mo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- 2,25 - 3,0%,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Ni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- 13,0 - 15,0%,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Cu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- 0,5%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., </w:t>
            </w:r>
            <w:proofErr w:type="spellStart"/>
            <w:r w:rsidRPr="00A81E46">
              <w:rPr>
                <w:rFonts w:cs="Times New Roman"/>
                <w:sz w:val="18"/>
                <w:szCs w:val="18"/>
              </w:rPr>
              <w:t>Fe</w:t>
            </w:r>
            <w:proofErr w:type="spellEnd"/>
            <w:r w:rsidRPr="00A81E46">
              <w:rPr>
                <w:rFonts w:cs="Times New Roman"/>
                <w:sz w:val="18"/>
                <w:szCs w:val="18"/>
              </w:rPr>
              <w:t xml:space="preserve"> – остальное.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1 865,00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A81E46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1E46">
              <w:rPr>
                <w:rFonts w:cs="Times New Roman"/>
                <w:sz w:val="18"/>
                <w:szCs w:val="18"/>
              </w:rPr>
              <w:t>335 700,00</w:t>
            </w:r>
          </w:p>
        </w:tc>
      </w:tr>
    </w:tbl>
    <w:p w:rsidR="0048597F" w:rsidRPr="00390325" w:rsidRDefault="00D53757" w:rsidP="00D23A74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lastRenderedPageBreak/>
        <w:t>Выделенная</w:t>
      </w:r>
      <w:r w:rsidR="0080080F" w:rsidRPr="00390325">
        <w:rPr>
          <w:rFonts w:cs="Times New Roman"/>
          <w:sz w:val="22"/>
          <w:szCs w:val="22"/>
        </w:rPr>
        <w:t xml:space="preserve"> сумма</w:t>
      </w:r>
      <w:r w:rsidR="007773A2" w:rsidRPr="00390325">
        <w:rPr>
          <w:rFonts w:cs="Times New Roman"/>
          <w:sz w:val="22"/>
          <w:szCs w:val="22"/>
        </w:rPr>
        <w:t xml:space="preserve"> </w:t>
      </w:r>
      <w:r w:rsidR="00A81E46">
        <w:rPr>
          <w:rFonts w:cs="Times New Roman"/>
          <w:sz w:val="22"/>
          <w:szCs w:val="22"/>
          <w:lang w:val="kk-KZ"/>
        </w:rPr>
        <w:t>13 741 300,00</w:t>
      </w:r>
      <w:r w:rsidR="0048597F" w:rsidRPr="00390325">
        <w:rPr>
          <w:rFonts w:cs="Times New Roman"/>
          <w:sz w:val="22"/>
          <w:szCs w:val="22"/>
        </w:rPr>
        <w:t xml:space="preserve"> </w:t>
      </w:r>
      <w:proofErr w:type="gramStart"/>
      <w:r w:rsidR="0048597F" w:rsidRPr="00390325">
        <w:rPr>
          <w:rFonts w:cs="Times New Roman"/>
          <w:sz w:val="22"/>
          <w:szCs w:val="22"/>
        </w:rPr>
        <w:t>(</w:t>
      </w:r>
      <w:r w:rsidR="00A81E46">
        <w:rPr>
          <w:rFonts w:cs="Times New Roman"/>
          <w:sz w:val="22"/>
          <w:szCs w:val="22"/>
          <w:lang w:val="kk-KZ"/>
        </w:rPr>
        <w:t xml:space="preserve"> </w:t>
      </w:r>
      <w:proofErr w:type="gramEnd"/>
      <w:r w:rsidR="00A81E46">
        <w:rPr>
          <w:rFonts w:cs="Times New Roman"/>
          <w:sz w:val="22"/>
          <w:szCs w:val="22"/>
          <w:lang w:val="kk-KZ"/>
        </w:rPr>
        <w:t>тринадцать миллионов семьост сорок одна тысяча триста</w:t>
      </w:r>
      <w:r w:rsidR="0048597F" w:rsidRPr="00390325">
        <w:rPr>
          <w:rFonts w:cs="Times New Roman"/>
          <w:sz w:val="22"/>
          <w:szCs w:val="22"/>
        </w:rPr>
        <w:t>) тенге.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390325">
        <w:rPr>
          <w:rFonts w:cs="Times New Roman"/>
          <w:sz w:val="22"/>
          <w:szCs w:val="22"/>
        </w:rPr>
        <w:t>5</w:t>
      </w:r>
      <w:r w:rsidR="00166458" w:rsidRPr="00390325">
        <w:rPr>
          <w:rFonts w:cs="Times New Roman"/>
          <w:sz w:val="22"/>
          <w:szCs w:val="22"/>
        </w:rPr>
        <w:t xml:space="preserve"> </w:t>
      </w:r>
      <w:r w:rsidR="00DC56C3" w:rsidRPr="00390325">
        <w:rPr>
          <w:rFonts w:cs="Times New Roman"/>
          <w:sz w:val="22"/>
          <w:szCs w:val="22"/>
        </w:rPr>
        <w:t>-</w:t>
      </w:r>
      <w:r w:rsidR="00166458" w:rsidRPr="00390325">
        <w:rPr>
          <w:rFonts w:cs="Times New Roman"/>
          <w:sz w:val="22"/>
          <w:szCs w:val="22"/>
        </w:rPr>
        <w:t xml:space="preserve"> и</w:t>
      </w:r>
      <w:r w:rsidR="00DC56C3" w:rsidRPr="00390325">
        <w:rPr>
          <w:rFonts w:cs="Times New Roman"/>
          <w:sz w:val="22"/>
          <w:szCs w:val="22"/>
        </w:rPr>
        <w:t xml:space="preserve"> календарных дней </w:t>
      </w:r>
      <w:r w:rsidRPr="0039032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390325">
        <w:rPr>
          <w:rFonts w:cs="Times New Roman"/>
          <w:sz w:val="22"/>
          <w:szCs w:val="22"/>
        </w:rPr>
        <w:t>Сызганова</w:t>
      </w:r>
      <w:proofErr w:type="spellEnd"/>
      <w:r w:rsidRPr="0039032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390325">
        <w:rPr>
          <w:rFonts w:cs="Times New Roman"/>
          <w:sz w:val="22"/>
          <w:szCs w:val="22"/>
        </w:rPr>
        <w:t>Алмалинский</w:t>
      </w:r>
      <w:proofErr w:type="spellEnd"/>
      <w:r w:rsidR="00562323" w:rsidRPr="00390325">
        <w:rPr>
          <w:rFonts w:cs="Times New Roman"/>
          <w:sz w:val="22"/>
          <w:szCs w:val="22"/>
        </w:rPr>
        <w:t xml:space="preserve"> </w:t>
      </w:r>
      <w:proofErr w:type="gramStart"/>
      <w:r w:rsidRPr="00390325">
        <w:rPr>
          <w:rFonts w:cs="Times New Roman"/>
          <w:sz w:val="22"/>
          <w:szCs w:val="22"/>
        </w:rPr>
        <w:t>р</w:t>
      </w:r>
      <w:proofErr w:type="gramEnd"/>
      <w:r w:rsidRPr="00390325">
        <w:rPr>
          <w:rFonts w:cs="Times New Roman"/>
          <w:sz w:val="22"/>
          <w:szCs w:val="22"/>
        </w:rPr>
        <w:t xml:space="preserve">/н, ул. </w:t>
      </w:r>
      <w:proofErr w:type="spellStart"/>
      <w:r w:rsidRPr="00390325">
        <w:rPr>
          <w:rFonts w:cs="Times New Roman"/>
          <w:sz w:val="22"/>
          <w:szCs w:val="22"/>
        </w:rPr>
        <w:t>Желтоксан</w:t>
      </w:r>
      <w:proofErr w:type="spellEnd"/>
      <w:r w:rsidRPr="00390325">
        <w:rPr>
          <w:rFonts w:cs="Times New Roman"/>
          <w:sz w:val="22"/>
          <w:szCs w:val="22"/>
        </w:rPr>
        <w:t>, 62, аптечный склад.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390325">
        <w:rPr>
          <w:rFonts w:cs="Times New Roman"/>
          <w:sz w:val="22"/>
          <w:szCs w:val="22"/>
        </w:rPr>
        <w:t>Алмалинский</w:t>
      </w:r>
      <w:proofErr w:type="spellEnd"/>
      <w:r w:rsidRPr="00390325">
        <w:rPr>
          <w:rFonts w:cs="Times New Roman"/>
          <w:sz w:val="22"/>
          <w:szCs w:val="22"/>
        </w:rPr>
        <w:t xml:space="preserve"> </w:t>
      </w:r>
      <w:proofErr w:type="gramStart"/>
      <w:r w:rsidRPr="00390325">
        <w:rPr>
          <w:rFonts w:cs="Times New Roman"/>
          <w:sz w:val="22"/>
          <w:szCs w:val="22"/>
        </w:rPr>
        <w:t>р</w:t>
      </w:r>
      <w:proofErr w:type="gramEnd"/>
      <w:r w:rsidRPr="00390325">
        <w:rPr>
          <w:rFonts w:cs="Times New Roman"/>
          <w:sz w:val="22"/>
          <w:szCs w:val="22"/>
        </w:rPr>
        <w:t xml:space="preserve">/н, ул. </w:t>
      </w:r>
      <w:proofErr w:type="spellStart"/>
      <w:r w:rsidRPr="00390325">
        <w:rPr>
          <w:rFonts w:cs="Times New Roman"/>
          <w:sz w:val="22"/>
          <w:szCs w:val="22"/>
        </w:rPr>
        <w:t>Желтоксан</w:t>
      </w:r>
      <w:proofErr w:type="spellEnd"/>
      <w:r w:rsidRPr="00390325">
        <w:rPr>
          <w:rFonts w:cs="Times New Roman"/>
          <w:sz w:val="22"/>
          <w:szCs w:val="22"/>
        </w:rPr>
        <w:t xml:space="preserve">, 51, кабинет 201, дата </w:t>
      </w:r>
      <w:r w:rsidR="00390325">
        <w:rPr>
          <w:rFonts w:cs="Times New Roman"/>
          <w:sz w:val="22"/>
          <w:szCs w:val="22"/>
          <w:lang w:val="kk-KZ"/>
        </w:rPr>
        <w:t>29</w:t>
      </w:r>
      <w:r w:rsidRPr="00390325">
        <w:rPr>
          <w:rFonts w:cs="Times New Roman"/>
          <w:sz w:val="22"/>
          <w:szCs w:val="22"/>
        </w:rPr>
        <w:t>.</w:t>
      </w:r>
      <w:r w:rsidR="00390325">
        <w:rPr>
          <w:rFonts w:cs="Times New Roman"/>
          <w:sz w:val="22"/>
          <w:szCs w:val="22"/>
          <w:lang w:val="kk-KZ"/>
        </w:rPr>
        <w:t>04</w:t>
      </w:r>
      <w:r w:rsidRPr="00390325">
        <w:rPr>
          <w:rFonts w:cs="Times New Roman"/>
          <w:sz w:val="22"/>
          <w:szCs w:val="22"/>
        </w:rPr>
        <w:t>.20</w:t>
      </w:r>
      <w:r w:rsidR="00CD1603" w:rsidRPr="00390325">
        <w:rPr>
          <w:rFonts w:cs="Times New Roman"/>
          <w:sz w:val="22"/>
          <w:szCs w:val="22"/>
        </w:rPr>
        <w:t>2</w:t>
      </w:r>
      <w:r w:rsidR="00E4253F" w:rsidRPr="00390325">
        <w:rPr>
          <w:rFonts w:cs="Times New Roman"/>
          <w:sz w:val="22"/>
          <w:szCs w:val="22"/>
        </w:rPr>
        <w:t>2</w:t>
      </w:r>
      <w:r w:rsidRPr="00390325">
        <w:rPr>
          <w:rFonts w:cs="Times New Roman"/>
          <w:sz w:val="22"/>
          <w:szCs w:val="22"/>
        </w:rPr>
        <w:t xml:space="preserve">г. время: </w:t>
      </w:r>
      <w:r w:rsidR="0048597F" w:rsidRPr="00390325">
        <w:rPr>
          <w:rFonts w:cs="Times New Roman"/>
          <w:sz w:val="22"/>
          <w:szCs w:val="22"/>
        </w:rPr>
        <w:t>09</w:t>
      </w:r>
      <w:r w:rsidRPr="00390325">
        <w:rPr>
          <w:rFonts w:cs="Times New Roman"/>
          <w:sz w:val="22"/>
          <w:szCs w:val="22"/>
        </w:rPr>
        <w:t>:</w:t>
      </w:r>
      <w:r w:rsidR="0048597F" w:rsidRPr="00390325">
        <w:rPr>
          <w:rFonts w:cs="Times New Roman"/>
          <w:sz w:val="22"/>
          <w:szCs w:val="22"/>
        </w:rPr>
        <w:t>00</w:t>
      </w:r>
      <w:r w:rsidRPr="00390325">
        <w:rPr>
          <w:rFonts w:cs="Times New Roman"/>
          <w:sz w:val="22"/>
          <w:szCs w:val="22"/>
        </w:rPr>
        <w:t xml:space="preserve"> часов.</w:t>
      </w:r>
    </w:p>
    <w:p w:rsidR="0080080F" w:rsidRPr="00390325" w:rsidRDefault="0080080F" w:rsidP="0048597F">
      <w:pPr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90325">
        <w:rPr>
          <w:rFonts w:cs="Times New Roman"/>
          <w:sz w:val="22"/>
          <w:szCs w:val="22"/>
          <w:lang w:val="kk-KZ"/>
        </w:rPr>
        <w:t>29</w:t>
      </w:r>
      <w:r w:rsidR="009F157D" w:rsidRPr="00390325">
        <w:rPr>
          <w:rFonts w:cs="Times New Roman"/>
          <w:sz w:val="22"/>
          <w:szCs w:val="22"/>
        </w:rPr>
        <w:t>.0</w:t>
      </w:r>
      <w:r w:rsidR="00390325">
        <w:rPr>
          <w:rFonts w:cs="Times New Roman"/>
          <w:sz w:val="22"/>
          <w:szCs w:val="22"/>
          <w:lang w:val="kk-KZ"/>
        </w:rPr>
        <w:t>4</w:t>
      </w:r>
      <w:r w:rsidRPr="00390325">
        <w:rPr>
          <w:rFonts w:cs="Times New Roman"/>
          <w:sz w:val="22"/>
          <w:szCs w:val="22"/>
        </w:rPr>
        <w:t>.</w:t>
      </w:r>
      <w:r w:rsidR="005F237D" w:rsidRPr="00390325">
        <w:rPr>
          <w:rFonts w:cs="Times New Roman"/>
          <w:sz w:val="22"/>
          <w:szCs w:val="22"/>
        </w:rPr>
        <w:t>202</w:t>
      </w:r>
      <w:r w:rsidR="00E4253F" w:rsidRPr="00390325">
        <w:rPr>
          <w:rFonts w:cs="Times New Roman"/>
          <w:sz w:val="22"/>
          <w:szCs w:val="22"/>
        </w:rPr>
        <w:t>2</w:t>
      </w:r>
      <w:r w:rsidRPr="00390325">
        <w:rPr>
          <w:rFonts w:cs="Times New Roman"/>
          <w:sz w:val="22"/>
          <w:szCs w:val="22"/>
        </w:rPr>
        <w:t xml:space="preserve">. время </w:t>
      </w:r>
      <w:r w:rsidR="00AB39AA" w:rsidRPr="00390325">
        <w:rPr>
          <w:rFonts w:cs="Times New Roman"/>
          <w:sz w:val="22"/>
          <w:szCs w:val="22"/>
        </w:rPr>
        <w:t>10</w:t>
      </w:r>
      <w:r w:rsidRPr="00390325">
        <w:rPr>
          <w:rFonts w:cs="Times New Roman"/>
          <w:sz w:val="22"/>
          <w:szCs w:val="22"/>
        </w:rPr>
        <w:t>:</w:t>
      </w:r>
      <w:r w:rsidR="00A81E46">
        <w:rPr>
          <w:rFonts w:cs="Times New Roman"/>
          <w:sz w:val="22"/>
          <w:szCs w:val="22"/>
          <w:lang w:val="kk-KZ"/>
        </w:rPr>
        <w:t>30</w:t>
      </w:r>
      <w:r w:rsidRPr="00390325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390325">
        <w:rPr>
          <w:rFonts w:cs="Times New Roman"/>
          <w:sz w:val="22"/>
          <w:szCs w:val="22"/>
        </w:rPr>
        <w:t>Алмалинский</w:t>
      </w:r>
      <w:proofErr w:type="spellEnd"/>
      <w:r w:rsidR="00562323" w:rsidRPr="00390325">
        <w:rPr>
          <w:rFonts w:cs="Times New Roman"/>
          <w:sz w:val="22"/>
          <w:szCs w:val="22"/>
        </w:rPr>
        <w:t xml:space="preserve"> </w:t>
      </w:r>
      <w:proofErr w:type="gramStart"/>
      <w:r w:rsidRPr="00390325">
        <w:rPr>
          <w:rFonts w:cs="Times New Roman"/>
          <w:sz w:val="22"/>
          <w:szCs w:val="22"/>
        </w:rPr>
        <w:t>р</w:t>
      </w:r>
      <w:proofErr w:type="gramEnd"/>
      <w:r w:rsidRPr="00390325">
        <w:rPr>
          <w:rFonts w:cs="Times New Roman"/>
          <w:sz w:val="22"/>
          <w:szCs w:val="22"/>
        </w:rPr>
        <w:t xml:space="preserve">/н, ул. </w:t>
      </w:r>
      <w:proofErr w:type="spellStart"/>
      <w:r w:rsidRPr="00390325">
        <w:rPr>
          <w:rFonts w:cs="Times New Roman"/>
          <w:sz w:val="22"/>
          <w:szCs w:val="22"/>
        </w:rPr>
        <w:t>Желтоксан</w:t>
      </w:r>
      <w:proofErr w:type="spellEnd"/>
      <w:r w:rsidRPr="00390325">
        <w:rPr>
          <w:rFonts w:cs="Times New Roman"/>
          <w:sz w:val="22"/>
          <w:szCs w:val="22"/>
        </w:rPr>
        <w:t>, 51, кабинет 201.</w:t>
      </w:r>
    </w:p>
    <w:p w:rsidR="0080080F" w:rsidRPr="00390325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90325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390325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390325">
        <w:rPr>
          <w:rFonts w:cs="Times New Roman"/>
          <w:b/>
          <w:sz w:val="22"/>
          <w:szCs w:val="22"/>
        </w:rPr>
        <w:t>Поставщика</w:t>
      </w:r>
      <w:r w:rsidR="0032207B" w:rsidRPr="00390325">
        <w:rPr>
          <w:rFonts w:cs="Times New Roman"/>
          <w:b/>
          <w:sz w:val="22"/>
          <w:szCs w:val="22"/>
        </w:rPr>
        <w:t>, Организатора (Заказчика)</w:t>
      </w:r>
      <w:r w:rsidRPr="00390325">
        <w:rPr>
          <w:rFonts w:cs="Times New Roman"/>
          <w:b/>
          <w:sz w:val="22"/>
          <w:szCs w:val="22"/>
        </w:rPr>
        <w:t>.</w:t>
      </w:r>
    </w:p>
    <w:p w:rsidR="009D2E50" w:rsidRPr="00390325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0" w:name="z374"/>
      <w:bookmarkStart w:id="1" w:name="z375"/>
      <w:r w:rsidRPr="00390325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390325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390325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390325">
        <w:rPr>
          <w:rFonts w:cs="Times New Roman"/>
          <w:sz w:val="22"/>
          <w:szCs w:val="22"/>
        </w:rPr>
        <w:t>Р</w:t>
      </w:r>
      <w:proofErr w:type="gramEnd"/>
      <w:r w:rsidR="00E4253F" w:rsidRPr="00390325">
        <w:rPr>
          <w:rFonts w:cs="Times New Roman"/>
          <w:sz w:val="22"/>
          <w:szCs w:val="22"/>
        </w:rPr>
        <w:t xml:space="preserve"> ДСМ -113 (далее – форма)</w:t>
      </w:r>
      <w:r w:rsidRPr="00390325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390325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  <w:bookmarkStart w:id="2" w:name="_GoBack"/>
      <w:bookmarkEnd w:id="2"/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1"/>
      <w:r w:rsidRPr="00390325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390325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390325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390325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390325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390325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390325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390325">
        <w:rPr>
          <w:rFonts w:cs="Times New Roman"/>
          <w:color w:val="000000"/>
          <w:sz w:val="22"/>
          <w:szCs w:val="22"/>
        </w:rPr>
        <w:lastRenderedPageBreak/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90325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390325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390325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390325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90325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390325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390325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390325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390325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390325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390325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390325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390325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390325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390325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390325" w:rsidRDefault="0032207B" w:rsidP="0048597F">
      <w:pPr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Начальник</w:t>
      </w:r>
    </w:p>
    <w:p w:rsidR="00720938" w:rsidRPr="00390325" w:rsidRDefault="0080080F" w:rsidP="0048597F">
      <w:pPr>
        <w:rPr>
          <w:rFonts w:cs="Times New Roman"/>
          <w:b/>
          <w:sz w:val="22"/>
          <w:szCs w:val="22"/>
        </w:rPr>
      </w:pPr>
      <w:r w:rsidRPr="00390325">
        <w:rPr>
          <w:rFonts w:cs="Times New Roman"/>
          <w:b/>
          <w:sz w:val="22"/>
          <w:szCs w:val="22"/>
        </w:rPr>
        <w:t>отдела государственны</w:t>
      </w:r>
      <w:r w:rsidR="0032207B" w:rsidRPr="00390325">
        <w:rPr>
          <w:rFonts w:cs="Times New Roman"/>
          <w:b/>
          <w:sz w:val="22"/>
          <w:szCs w:val="22"/>
        </w:rPr>
        <w:t>х</w:t>
      </w:r>
      <w:r w:rsidRPr="00390325">
        <w:rPr>
          <w:rFonts w:cs="Times New Roman"/>
          <w:b/>
          <w:sz w:val="22"/>
          <w:szCs w:val="22"/>
        </w:rPr>
        <w:t xml:space="preserve"> закуп</w:t>
      </w:r>
      <w:r w:rsidR="0032207B" w:rsidRPr="00390325">
        <w:rPr>
          <w:rFonts w:cs="Times New Roman"/>
          <w:b/>
          <w:sz w:val="22"/>
          <w:szCs w:val="22"/>
        </w:rPr>
        <w:t>о</w:t>
      </w:r>
      <w:r w:rsidRPr="00390325">
        <w:rPr>
          <w:rFonts w:cs="Times New Roman"/>
          <w:b/>
          <w:sz w:val="22"/>
          <w:szCs w:val="22"/>
        </w:rPr>
        <w:t>к</w:t>
      </w:r>
      <w:r w:rsidR="0032207B" w:rsidRPr="00390325">
        <w:rPr>
          <w:rFonts w:cs="Times New Roman"/>
          <w:b/>
          <w:sz w:val="22"/>
          <w:szCs w:val="22"/>
        </w:rPr>
        <w:tab/>
      </w:r>
      <w:r w:rsidR="0032207B" w:rsidRPr="00390325">
        <w:rPr>
          <w:rFonts w:cs="Times New Roman"/>
          <w:b/>
          <w:sz w:val="22"/>
          <w:szCs w:val="22"/>
        </w:rPr>
        <w:tab/>
      </w:r>
      <w:r w:rsidRPr="00390325">
        <w:rPr>
          <w:rFonts w:cs="Times New Roman"/>
          <w:b/>
          <w:sz w:val="22"/>
          <w:szCs w:val="22"/>
        </w:rPr>
        <w:tab/>
      </w:r>
      <w:r w:rsidR="00445013" w:rsidRPr="00390325">
        <w:rPr>
          <w:rFonts w:cs="Times New Roman"/>
          <w:b/>
          <w:sz w:val="22"/>
          <w:szCs w:val="22"/>
        </w:rPr>
        <w:tab/>
      </w:r>
      <w:r w:rsidR="00117419" w:rsidRPr="00390325">
        <w:rPr>
          <w:rFonts w:cs="Times New Roman"/>
          <w:b/>
          <w:sz w:val="22"/>
          <w:szCs w:val="22"/>
        </w:rPr>
        <w:tab/>
      </w:r>
      <w:proofErr w:type="spellStart"/>
      <w:r w:rsidR="0032207B" w:rsidRPr="00390325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390325">
        <w:rPr>
          <w:rFonts w:cs="Times New Roman"/>
          <w:b/>
          <w:sz w:val="22"/>
          <w:szCs w:val="22"/>
        </w:rPr>
        <w:t xml:space="preserve"> Н.М.</w:t>
      </w:r>
    </w:p>
    <w:p w:rsidR="00E4253F" w:rsidRPr="00390325" w:rsidRDefault="00E4253F" w:rsidP="0048597F">
      <w:pPr>
        <w:rPr>
          <w:rFonts w:cs="Times New Roman"/>
          <w:sz w:val="22"/>
          <w:szCs w:val="22"/>
        </w:rPr>
      </w:pPr>
    </w:p>
    <w:p w:rsidR="00E4253F" w:rsidRPr="00390325" w:rsidRDefault="00E4253F" w:rsidP="0048597F">
      <w:pPr>
        <w:rPr>
          <w:rFonts w:cs="Times New Roman"/>
          <w:sz w:val="22"/>
          <w:szCs w:val="22"/>
        </w:rPr>
      </w:pPr>
    </w:p>
    <w:p w:rsidR="0080080F" w:rsidRPr="00390325" w:rsidRDefault="001811AD" w:rsidP="0048597F">
      <w:pPr>
        <w:rPr>
          <w:rFonts w:cs="Times New Roman"/>
          <w:sz w:val="22"/>
          <w:szCs w:val="22"/>
        </w:rPr>
      </w:pPr>
      <w:r w:rsidRPr="00390325">
        <w:rPr>
          <w:rFonts w:cs="Times New Roman"/>
          <w:i/>
          <w:sz w:val="22"/>
          <w:szCs w:val="22"/>
        </w:rPr>
        <w:t>Исп</w:t>
      </w:r>
      <w:r w:rsidR="003469CF" w:rsidRPr="00390325">
        <w:rPr>
          <w:rFonts w:cs="Times New Roman"/>
          <w:i/>
          <w:sz w:val="22"/>
          <w:szCs w:val="22"/>
        </w:rPr>
        <w:t>.</w:t>
      </w:r>
      <w:r w:rsidR="00694C51" w:rsidRPr="00390325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390325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390325">
        <w:rPr>
          <w:rFonts w:cs="Times New Roman"/>
          <w:i/>
          <w:sz w:val="22"/>
          <w:szCs w:val="22"/>
        </w:rPr>
        <w:t xml:space="preserve"> К.</w:t>
      </w:r>
    </w:p>
    <w:p w:rsidR="0086053E" w:rsidRPr="00390325" w:rsidRDefault="0080080F" w:rsidP="0048597F">
      <w:pPr>
        <w:rPr>
          <w:rFonts w:cs="Times New Roman"/>
          <w:sz w:val="22"/>
          <w:szCs w:val="22"/>
        </w:rPr>
      </w:pPr>
      <w:r w:rsidRPr="00390325">
        <w:rPr>
          <w:rFonts w:cs="Times New Roman"/>
          <w:i/>
          <w:sz w:val="22"/>
          <w:szCs w:val="22"/>
        </w:rPr>
        <w:t>8-727-278-04-44</w:t>
      </w:r>
    </w:p>
    <w:sectPr w:rsidR="0086053E" w:rsidRPr="00390325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90325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1E46"/>
    <w:rsid w:val="00A85D9B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1DC1-4BBD-4579-929A-280D42A6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19</cp:revision>
  <cp:lastPrinted>2022-04-26T09:45:00Z</cp:lastPrinted>
  <dcterms:created xsi:type="dcterms:W3CDTF">2022-04-01T08:29:00Z</dcterms:created>
  <dcterms:modified xsi:type="dcterms:W3CDTF">2022-04-26T09:45:00Z</dcterms:modified>
</cp:coreProperties>
</file>