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876BEA">
        <w:rPr>
          <w:rFonts w:cs="Times New Roman"/>
          <w:sz w:val="22"/>
          <w:szCs w:val="22"/>
          <w:lang w:val="kk-KZ"/>
        </w:rPr>
        <w:t>04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992"/>
        <w:gridCol w:w="1276"/>
        <w:gridCol w:w="1175"/>
        <w:gridCol w:w="1317"/>
      </w:tblGrid>
      <w:tr w:rsidR="00876BEA" w:rsidRPr="000F2EE3" w:rsidTr="00876BE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76BEA" w:rsidRPr="000F2EE3" w:rsidRDefault="00876BEA" w:rsidP="009B55DF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876BEA" w:rsidRPr="000F2EE3" w:rsidRDefault="00876BEA" w:rsidP="009B55DF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Выделенная сумма</w:t>
            </w:r>
          </w:p>
        </w:tc>
      </w:tr>
      <w:tr w:rsidR="00876BEA" w:rsidRPr="000F2EE3" w:rsidTr="00876BEA">
        <w:trPr>
          <w:trHeight w:val="53"/>
        </w:trPr>
        <w:tc>
          <w:tcPr>
            <w:tcW w:w="668" w:type="dxa"/>
            <w:shd w:val="clear" w:color="auto" w:fill="B8CCE4" w:themeFill="accent1" w:themeFillTint="66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76BEA">
              <w:rPr>
                <w:rFonts w:cs="Times New Roman"/>
                <w:b/>
                <w:sz w:val="16"/>
                <w:szCs w:val="16"/>
              </w:rPr>
              <w:t xml:space="preserve">Набор реагентов </w:t>
            </w:r>
            <w:bookmarkStart w:id="0" w:name="_GoBack"/>
            <w:r w:rsidRPr="00876BEA">
              <w:rPr>
                <w:rFonts w:cs="Times New Roman"/>
                <w:b/>
                <w:sz w:val="16"/>
                <w:szCs w:val="16"/>
              </w:rPr>
              <w:t xml:space="preserve">для анализатора мочи </w:t>
            </w:r>
            <w:proofErr w:type="spellStart"/>
            <w:r w:rsidRPr="00876BEA">
              <w:rPr>
                <w:rFonts w:cs="Times New Roman"/>
                <w:b/>
                <w:sz w:val="16"/>
                <w:szCs w:val="16"/>
              </w:rPr>
              <w:t>Dirui</w:t>
            </w:r>
            <w:bookmarkEnd w:id="0"/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B8CCE4" w:themeFill="accent1" w:themeFillTint="66"/>
            <w:vAlign w:val="center"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876BEA" w:rsidRPr="000F2EE3" w:rsidRDefault="00876BEA" w:rsidP="009B55D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proofErr w:type="gramStart"/>
            <w:r w:rsidRPr="00876BEA">
              <w:rPr>
                <w:sz w:val="18"/>
                <w:szCs w:val="18"/>
              </w:rPr>
              <w:t>Жидкость</w:t>
            </w:r>
            <w:proofErr w:type="gramEnd"/>
            <w:r w:rsidRPr="00876BEA">
              <w:rPr>
                <w:sz w:val="18"/>
                <w:szCs w:val="18"/>
              </w:rPr>
              <w:t xml:space="preserve"> обжимающая 20 литров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  <w:r w:rsidRPr="00876BE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401 520,00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2 810 640,00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proofErr w:type="gramStart"/>
            <w:r w:rsidRPr="00876BEA">
              <w:rPr>
                <w:sz w:val="18"/>
                <w:szCs w:val="18"/>
              </w:rPr>
              <w:t>Жидкость</w:t>
            </w:r>
            <w:proofErr w:type="gramEnd"/>
            <w:r w:rsidRPr="00876BEA">
              <w:rPr>
                <w:sz w:val="18"/>
                <w:szCs w:val="18"/>
              </w:rPr>
              <w:t xml:space="preserve"> фокусирующая 125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48 960,00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342 720,00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Контроль негативный 125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48 960,00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244 800,00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Контроль позитивный 125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48 960,00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244 800,00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Детергент 500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26 280,00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131 400,00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0F2EE3" w:rsidRDefault="00876BEA" w:rsidP="009B55DF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Раствор стандартный 125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43 680,00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218 400,00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proofErr w:type="spellStart"/>
            <w:r w:rsidRPr="00876BEA">
              <w:rPr>
                <w:sz w:val="18"/>
                <w:szCs w:val="18"/>
              </w:rPr>
              <w:t>Дилюент</w:t>
            </w:r>
            <w:proofErr w:type="spellEnd"/>
            <w:r w:rsidRPr="00876BEA">
              <w:rPr>
                <w:sz w:val="18"/>
                <w:szCs w:val="18"/>
              </w:rPr>
              <w:t xml:space="preserve"> 500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28 320,00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141 600,00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Контроль мочи (позитивный)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30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1 920,00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57 600,00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Контроль мочи (негативный)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30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1 920,00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57 600,00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proofErr w:type="gramStart"/>
            <w:r w:rsidRPr="00876BEA">
              <w:rPr>
                <w:sz w:val="18"/>
                <w:szCs w:val="18"/>
              </w:rPr>
              <w:t>Тест-полоски</w:t>
            </w:r>
            <w:proofErr w:type="gramEnd"/>
            <w:r w:rsidRPr="00876BEA">
              <w:rPr>
                <w:sz w:val="18"/>
                <w:szCs w:val="18"/>
              </w:rPr>
              <w:t xml:space="preserve"> 10*100 полосок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117 360,00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1 173 600,00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промывочная для рефрактометра и </w:t>
            </w:r>
            <w:proofErr w:type="spellStart"/>
            <w:r w:rsidRPr="00876BEA">
              <w:rPr>
                <w:sz w:val="18"/>
                <w:szCs w:val="18"/>
              </w:rPr>
              <w:t>турбидиметра</w:t>
            </w:r>
            <w:proofErr w:type="spellEnd"/>
            <w:r w:rsidRPr="00876BEA">
              <w:rPr>
                <w:sz w:val="18"/>
                <w:szCs w:val="18"/>
              </w:rPr>
              <w:t xml:space="preserve"> 50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11 520,00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11 520,00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6 120,00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30 600,00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6 120,00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30 600,00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6 120,00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30 600,00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6 120,00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30 600,00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калибровочная для </w:t>
            </w:r>
            <w:proofErr w:type="spellStart"/>
            <w:r w:rsidRPr="00876BEA">
              <w:rPr>
                <w:sz w:val="18"/>
                <w:szCs w:val="18"/>
              </w:rPr>
              <w:t>турбидиметра</w:t>
            </w:r>
            <w:proofErr w:type="spellEnd"/>
            <w:r w:rsidRPr="00876BEA">
              <w:rPr>
                <w:sz w:val="18"/>
                <w:szCs w:val="18"/>
              </w:rPr>
              <w:t xml:space="preserve">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18 360,00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91 800,00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контрольная для </w:t>
            </w:r>
            <w:proofErr w:type="spellStart"/>
            <w:r w:rsidRPr="00876BEA">
              <w:rPr>
                <w:sz w:val="18"/>
                <w:szCs w:val="18"/>
              </w:rPr>
              <w:t>турбидиметра</w:t>
            </w:r>
            <w:proofErr w:type="spellEnd"/>
            <w:r w:rsidRPr="00876BEA">
              <w:rPr>
                <w:sz w:val="18"/>
                <w:szCs w:val="18"/>
              </w:rPr>
              <w:t xml:space="preserve"> Уровень 1.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18 360,00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91 800,00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контрольная для </w:t>
            </w:r>
            <w:proofErr w:type="spellStart"/>
            <w:r w:rsidRPr="00876BEA">
              <w:rPr>
                <w:sz w:val="18"/>
                <w:szCs w:val="18"/>
              </w:rPr>
              <w:t>турбидиметра</w:t>
            </w:r>
            <w:proofErr w:type="spellEnd"/>
            <w:r w:rsidRPr="00876BEA">
              <w:rPr>
                <w:sz w:val="18"/>
                <w:szCs w:val="18"/>
              </w:rPr>
              <w:t xml:space="preserve"> Уровень 2.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18 360,00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91 800,00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P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9 630,00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48 150,00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9 630,00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48 150,00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9 630,00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48 150,00   </w:t>
            </w:r>
          </w:p>
        </w:tc>
      </w:tr>
      <w:tr w:rsidR="00876BEA" w:rsidRPr="000F2EE3" w:rsidTr="00876BE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76BEA" w:rsidRDefault="00876BEA" w:rsidP="009B55DF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876BEA" w:rsidRPr="00876BEA" w:rsidRDefault="00876BEA">
            <w:pPr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Одноразовые пластиковые пробирки 15*100 мл для анализатора мочи </w:t>
            </w:r>
            <w:proofErr w:type="spellStart"/>
            <w:r w:rsidRPr="00876BEA">
              <w:rPr>
                <w:sz w:val="18"/>
                <w:szCs w:val="18"/>
              </w:rPr>
              <w:t>Dirui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20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>35 993,00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876BEA" w:rsidRPr="00876BEA" w:rsidRDefault="00876BEA">
            <w:pPr>
              <w:jc w:val="center"/>
              <w:rPr>
                <w:sz w:val="18"/>
                <w:szCs w:val="18"/>
              </w:rPr>
            </w:pPr>
            <w:r w:rsidRPr="00876BEA">
              <w:rPr>
                <w:sz w:val="18"/>
                <w:szCs w:val="18"/>
              </w:rPr>
              <w:t xml:space="preserve">719 860,00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876BEA">
        <w:rPr>
          <w:rFonts w:cs="Times New Roman"/>
          <w:sz w:val="22"/>
          <w:szCs w:val="22"/>
          <w:lang w:val="kk-KZ"/>
        </w:rPr>
        <w:t>6 696 790</w:t>
      </w:r>
      <w:r w:rsidR="00CF0FBC" w:rsidRPr="000F2EE3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876BEA">
        <w:rPr>
          <w:rFonts w:cs="Times New Roman"/>
          <w:sz w:val="22"/>
          <w:szCs w:val="22"/>
          <w:lang w:val="kk-KZ"/>
        </w:rPr>
        <w:t>шесть миллионоав шестьсот девяносто шесть тысяч семьсот девяносто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876BEA">
        <w:rPr>
          <w:rFonts w:cs="Times New Roman"/>
          <w:sz w:val="22"/>
          <w:szCs w:val="22"/>
          <w:lang w:val="kk-KZ"/>
        </w:rPr>
        <w:t>12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6BEA">
        <w:rPr>
          <w:rFonts w:cs="Times New Roman"/>
          <w:sz w:val="22"/>
          <w:szCs w:val="22"/>
          <w:lang w:val="kk-KZ"/>
        </w:rPr>
        <w:t>12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E96372" w:rsidRPr="000F2EE3">
        <w:rPr>
          <w:rFonts w:cs="Times New Roman"/>
          <w:sz w:val="22"/>
          <w:szCs w:val="22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6BEA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EFDC-9330-48B9-B0BA-B738FD0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12</cp:revision>
  <cp:lastPrinted>2022-04-04T09:37:00Z</cp:lastPrinted>
  <dcterms:created xsi:type="dcterms:W3CDTF">2022-04-01T08:29:00Z</dcterms:created>
  <dcterms:modified xsi:type="dcterms:W3CDTF">2022-04-05T03:34:00Z</dcterms:modified>
</cp:coreProperties>
</file>