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7008EB" w:rsidTr="007A01F1">
        <w:tc>
          <w:tcPr>
            <w:tcW w:w="4927" w:type="dxa"/>
          </w:tcPr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8EB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7008EB" w:rsidRPr="007008EB">
              <w:rPr>
                <w:rFonts w:ascii="Times New Roman" w:hAnsi="Times New Roman"/>
                <w:sz w:val="20"/>
                <w:szCs w:val="20"/>
              </w:rPr>
              <w:t>18</w:t>
            </w:r>
            <w:r w:rsidRPr="007008E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A33AE9" w:rsidRPr="007008EB">
              <w:rPr>
                <w:rFonts w:ascii="Times New Roman" w:hAnsi="Times New Roman"/>
                <w:sz w:val="20"/>
                <w:szCs w:val="20"/>
              </w:rPr>
              <w:t>қаңтар</w:t>
            </w:r>
            <w:proofErr w:type="spellEnd"/>
            <w:r w:rsidR="00A33AE9" w:rsidRPr="007008EB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7008EB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8EB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7008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7008EB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7008EB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7008EB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7008EB" w:rsidRPr="007008EB">
              <w:rPr>
                <w:rFonts w:cs="Times New Roman"/>
                <w:sz w:val="20"/>
                <w:szCs w:val="20"/>
              </w:rPr>
              <w:t>18</w:t>
            </w:r>
            <w:r w:rsidRPr="007008EB">
              <w:rPr>
                <w:rFonts w:cs="Times New Roman"/>
                <w:sz w:val="20"/>
                <w:szCs w:val="20"/>
              </w:rPr>
              <w:t xml:space="preserve">» </w:t>
            </w:r>
            <w:r w:rsidR="00A33AE9" w:rsidRPr="007008EB">
              <w:rPr>
                <w:rFonts w:cs="Times New Roman"/>
                <w:sz w:val="20"/>
                <w:szCs w:val="20"/>
              </w:rPr>
              <w:t>января</w:t>
            </w:r>
            <w:r w:rsidRPr="007008EB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7008EB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7008EB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7008EB">
              <w:rPr>
                <w:rStyle w:val="s1"/>
                <w:sz w:val="20"/>
                <w:szCs w:val="20"/>
              </w:rPr>
              <w:t>«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7008EB">
              <w:rPr>
                <w:rStyle w:val="s1"/>
                <w:sz w:val="20"/>
                <w:szCs w:val="20"/>
              </w:rPr>
              <w:t>»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7008EB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7008EB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7008EB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7008EB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7008EB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7008EB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6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861"/>
        <w:gridCol w:w="1275"/>
        <w:gridCol w:w="993"/>
        <w:gridCol w:w="1447"/>
        <w:gridCol w:w="1418"/>
      </w:tblGrid>
      <w:tr w:rsidR="007A01F1" w:rsidRPr="00581EE5" w:rsidTr="00581EE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581EE5" w:rsidRDefault="007A01F1" w:rsidP="00581EE5">
            <w:pPr>
              <w:rPr>
                <w:rFonts w:cs="Times New Roman"/>
                <w:b/>
                <w:sz w:val="19"/>
                <w:szCs w:val="19"/>
              </w:rPr>
            </w:pPr>
            <w:r w:rsidRPr="00581EE5">
              <w:rPr>
                <w:rFonts w:cs="Times New Roman"/>
                <w:b/>
                <w:sz w:val="19"/>
                <w:szCs w:val="19"/>
              </w:rPr>
              <w:t>№</w:t>
            </w:r>
          </w:p>
          <w:p w:rsidR="007A01F1" w:rsidRPr="00581EE5" w:rsidRDefault="007A01F1" w:rsidP="00581EE5">
            <w:pPr>
              <w:rPr>
                <w:rFonts w:cs="Times New Roman"/>
                <w:b/>
                <w:sz w:val="19"/>
                <w:szCs w:val="19"/>
              </w:rPr>
            </w:pPr>
            <w:r w:rsidRPr="00581EE5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7A01F1" w:rsidRPr="00581EE5" w:rsidRDefault="007A01F1" w:rsidP="00581EE5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Атауы</w:t>
            </w:r>
            <w:proofErr w:type="spellEnd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/ Наименование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A01F1" w:rsidRPr="00581EE5" w:rsidRDefault="007A01F1" w:rsidP="00581EE5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581EE5">
              <w:rPr>
                <w:rFonts w:cs="Times New Roman"/>
                <w:b/>
                <w:sz w:val="19"/>
                <w:szCs w:val="19"/>
              </w:rPr>
              <w:t>Өлшем</w:t>
            </w:r>
            <w:proofErr w:type="spellEnd"/>
            <w:r w:rsidRPr="00581EE5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581EE5">
              <w:rPr>
                <w:rFonts w:cs="Times New Roman"/>
                <w:b/>
                <w:sz w:val="19"/>
                <w:szCs w:val="19"/>
              </w:rPr>
              <w:t>бірліг</w:t>
            </w:r>
            <w:proofErr w:type="gramStart"/>
            <w:r w:rsidRPr="00581EE5">
              <w:rPr>
                <w:rFonts w:cs="Times New Roman"/>
                <w:b/>
                <w:sz w:val="19"/>
                <w:szCs w:val="19"/>
              </w:rPr>
              <w:t>і</w:t>
            </w:r>
            <w:proofErr w:type="spellEnd"/>
            <w:r w:rsidRPr="00581EE5">
              <w:rPr>
                <w:rFonts w:cs="Times New Roman"/>
                <w:b/>
                <w:sz w:val="19"/>
                <w:szCs w:val="19"/>
              </w:rPr>
              <w:t xml:space="preserve"> / Е</w:t>
            </w:r>
            <w:proofErr w:type="gramEnd"/>
            <w:r w:rsidRPr="00581EE5">
              <w:rPr>
                <w:rFonts w:cs="Times New Roman"/>
                <w:b/>
                <w:sz w:val="19"/>
                <w:szCs w:val="19"/>
              </w:rPr>
              <w:t>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01F1" w:rsidRPr="00581EE5" w:rsidRDefault="007A01F1" w:rsidP="00581EE5">
            <w:pPr>
              <w:rPr>
                <w:rFonts w:cs="Times New Roman"/>
                <w:b/>
                <w:sz w:val="19"/>
                <w:szCs w:val="19"/>
              </w:rPr>
            </w:pPr>
            <w:r w:rsidRPr="00581EE5">
              <w:rPr>
                <w:rFonts w:cs="Times New Roman"/>
                <w:b/>
                <w:sz w:val="19"/>
                <w:szCs w:val="19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581EE5" w:rsidRDefault="007A01F1" w:rsidP="00581EE5">
            <w:pPr>
              <w:rPr>
                <w:rFonts w:cs="Times New Roman"/>
                <w:b/>
                <w:sz w:val="19"/>
                <w:szCs w:val="19"/>
              </w:rPr>
            </w:pPr>
            <w:r w:rsidRPr="00581EE5">
              <w:rPr>
                <w:rFonts w:cs="Times New Roman"/>
                <w:b/>
                <w:sz w:val="19"/>
                <w:szCs w:val="19"/>
              </w:rPr>
              <w:t xml:space="preserve">Лот </w:t>
            </w:r>
            <w:proofErr w:type="spellStart"/>
            <w:r w:rsidRPr="00581EE5">
              <w:rPr>
                <w:rFonts w:cs="Times New Roman"/>
                <w:b/>
                <w:sz w:val="19"/>
                <w:szCs w:val="19"/>
              </w:rPr>
              <w:t>бойынша</w:t>
            </w:r>
            <w:proofErr w:type="spellEnd"/>
            <w:r w:rsidRPr="00581EE5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581EE5">
              <w:rPr>
                <w:rFonts w:cs="Times New Roman"/>
                <w:b/>
                <w:sz w:val="19"/>
                <w:szCs w:val="19"/>
              </w:rPr>
              <w:t>бірлі</w:t>
            </w:r>
            <w:proofErr w:type="gramStart"/>
            <w:r w:rsidRPr="00581EE5">
              <w:rPr>
                <w:rFonts w:cs="Times New Roman"/>
                <w:b/>
                <w:sz w:val="19"/>
                <w:szCs w:val="19"/>
              </w:rPr>
              <w:t>к</w:t>
            </w:r>
            <w:proofErr w:type="spellEnd"/>
            <w:proofErr w:type="gramEnd"/>
            <w:r w:rsidRPr="00581EE5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581EE5">
              <w:rPr>
                <w:rFonts w:cs="Times New Roman"/>
                <w:b/>
                <w:sz w:val="19"/>
                <w:szCs w:val="19"/>
              </w:rPr>
              <w:t>бағасы</w:t>
            </w:r>
            <w:proofErr w:type="spellEnd"/>
            <w:r w:rsidRPr="00581EE5">
              <w:rPr>
                <w:rFonts w:cs="Times New Roman"/>
                <w:b/>
                <w:sz w:val="19"/>
                <w:szCs w:val="19"/>
              </w:rPr>
              <w:t xml:space="preserve"> / Цена за единицу по лот</w:t>
            </w:r>
            <w:r w:rsidR="00A33AE9" w:rsidRPr="00581EE5">
              <w:rPr>
                <w:rFonts w:cs="Times New Roman"/>
                <w:b/>
                <w:sz w:val="19"/>
                <w:szCs w:val="19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581EE5" w:rsidRDefault="007A01F1" w:rsidP="00581EE5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581EE5">
              <w:rPr>
                <w:rFonts w:cs="Times New Roman"/>
                <w:b/>
                <w:sz w:val="19"/>
                <w:szCs w:val="19"/>
              </w:rPr>
              <w:t>Бө</w:t>
            </w:r>
            <w:proofErr w:type="gramStart"/>
            <w:r w:rsidRPr="00581EE5">
              <w:rPr>
                <w:rFonts w:cs="Times New Roman"/>
                <w:b/>
                <w:sz w:val="19"/>
                <w:szCs w:val="19"/>
              </w:rPr>
              <w:t>л</w:t>
            </w:r>
            <w:proofErr w:type="gramEnd"/>
            <w:r w:rsidRPr="00581EE5">
              <w:rPr>
                <w:rFonts w:cs="Times New Roman"/>
                <w:b/>
                <w:sz w:val="19"/>
                <w:szCs w:val="19"/>
              </w:rPr>
              <w:t>інген</w:t>
            </w:r>
            <w:proofErr w:type="spellEnd"/>
            <w:r w:rsidRPr="00581EE5">
              <w:rPr>
                <w:rFonts w:cs="Times New Roman"/>
                <w:b/>
                <w:sz w:val="19"/>
                <w:szCs w:val="19"/>
              </w:rPr>
              <w:t xml:space="preserve"> сома / Выделенная сумма</w:t>
            </w:r>
          </w:p>
        </w:tc>
      </w:tr>
      <w:tr w:rsidR="007008EB" w:rsidRPr="00581EE5" w:rsidTr="00581EE5">
        <w:trPr>
          <w:trHeight w:val="570"/>
        </w:trPr>
        <w:tc>
          <w:tcPr>
            <w:tcW w:w="10662" w:type="dxa"/>
            <w:gridSpan w:val="6"/>
            <w:shd w:val="clear" w:color="auto" w:fill="DBE5F1" w:themeFill="accent1" w:themeFillTint="33"/>
            <w:noWrap/>
            <w:vAlign w:val="center"/>
          </w:tcPr>
          <w:p w:rsidR="007008EB" w:rsidRPr="00581EE5" w:rsidRDefault="00581EE5" w:rsidP="00581EE5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Пресепсинді</w:t>
            </w:r>
            <w:proofErr w:type="spellEnd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анық</w:t>
            </w:r>
            <w:proofErr w:type="gram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тау</w:t>
            </w:r>
            <w:proofErr w:type="gramEnd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ға</w:t>
            </w:r>
            <w:proofErr w:type="spellEnd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арналған</w:t>
            </w:r>
            <w:proofErr w:type="spellEnd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PATHFAST </w:t>
            </w: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иммунохемилюминисцентті</w:t>
            </w:r>
            <w:proofErr w:type="spellEnd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анализаторға</w:t>
            </w:r>
            <w:proofErr w:type="spellEnd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арналған</w:t>
            </w:r>
            <w:proofErr w:type="spellEnd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реагенттер</w:t>
            </w:r>
            <w:proofErr w:type="spellEnd"/>
            <w:r w:rsidRPr="00581EE5">
              <w:rPr>
                <w:rFonts w:cs="Times New Roman"/>
                <w:b/>
                <w:color w:val="000000"/>
                <w:sz w:val="19"/>
                <w:szCs w:val="19"/>
                <w:lang w:val="kk-KZ"/>
              </w:rPr>
              <w:t xml:space="preserve"> / </w:t>
            </w:r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Реагенты для </w:t>
            </w: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иммунохемилюминисцентного</w:t>
            </w:r>
            <w:proofErr w:type="spellEnd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анализатора  PATHFAST для определения </w:t>
            </w: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пресепсина</w:t>
            </w:r>
            <w:proofErr w:type="spellEnd"/>
          </w:p>
        </w:tc>
      </w:tr>
      <w:tr w:rsidR="00581EE5" w:rsidRPr="00581EE5" w:rsidTr="00581EE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rFonts w:cs="Times New Roman"/>
                <w:sz w:val="19"/>
                <w:szCs w:val="19"/>
              </w:rPr>
            </w:pPr>
            <w:r w:rsidRPr="00581EE5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 xml:space="preserve">Набор реагентов для количественного определения сепсиса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Presepsin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(в упаковке 60 картриджей) для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иммунохемилюминисцентного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анализатора  PATHFAST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765 000,00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2 295 000,00</w:t>
            </w:r>
          </w:p>
        </w:tc>
      </w:tr>
      <w:tr w:rsidR="00581EE5" w:rsidRPr="00581EE5" w:rsidTr="00581EE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rFonts w:cs="Times New Roman"/>
                <w:sz w:val="19"/>
                <w:szCs w:val="19"/>
              </w:rPr>
            </w:pPr>
            <w:r w:rsidRPr="00581EE5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proofErr w:type="gramStart"/>
            <w:r w:rsidRPr="00581EE5">
              <w:rPr>
                <w:color w:val="000000"/>
                <w:sz w:val="19"/>
                <w:szCs w:val="19"/>
              </w:rPr>
              <w:t xml:space="preserve">Набор контролей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Presepsin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(Уровень-1 -1 мл*2.</w:t>
            </w:r>
            <w:proofErr w:type="gramEnd"/>
            <w:r w:rsidRPr="00581EE5">
              <w:rPr>
                <w:color w:val="000000"/>
                <w:sz w:val="19"/>
                <w:szCs w:val="19"/>
              </w:rPr>
              <w:t xml:space="preserve"> Уровень 2- 1мл*2.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Дилюент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-1мл*4)</w:t>
            </w:r>
            <w:proofErr w:type="gramStart"/>
            <w:r w:rsidRPr="00581EE5">
              <w:rPr>
                <w:color w:val="000000"/>
                <w:sz w:val="19"/>
                <w:szCs w:val="19"/>
              </w:rPr>
              <w:t>.</w:t>
            </w:r>
            <w:proofErr w:type="gramEnd"/>
            <w:r w:rsidRPr="00581EE5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581EE5">
              <w:rPr>
                <w:color w:val="000000"/>
                <w:sz w:val="19"/>
                <w:szCs w:val="19"/>
              </w:rPr>
              <w:t>д</w:t>
            </w:r>
            <w:proofErr w:type="gramEnd"/>
            <w:r w:rsidRPr="00581EE5">
              <w:rPr>
                <w:color w:val="000000"/>
                <w:sz w:val="19"/>
                <w:szCs w:val="19"/>
              </w:rPr>
              <w:t xml:space="preserve">ля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иммунохемилюминисцентного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анализатора  PATHFAST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205 000,00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205 000,00</w:t>
            </w:r>
          </w:p>
        </w:tc>
      </w:tr>
      <w:tr w:rsidR="00581EE5" w:rsidRPr="00581EE5" w:rsidTr="00581EE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rFonts w:cs="Times New Roman"/>
                <w:sz w:val="19"/>
                <w:szCs w:val="19"/>
              </w:rPr>
            </w:pPr>
            <w:r w:rsidRPr="00581EE5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 xml:space="preserve">Наконечник для использования в анализаторе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PathFast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(в штативе 210 штуки) для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иммунохемилюминисцентного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анализатора  PATHFAST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2,00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225 000,00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450 000,00</w:t>
            </w:r>
          </w:p>
        </w:tc>
      </w:tr>
      <w:tr w:rsidR="00581EE5" w:rsidRPr="00581EE5" w:rsidTr="00581EE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rFonts w:cs="Times New Roman"/>
                <w:sz w:val="19"/>
                <w:szCs w:val="19"/>
              </w:rPr>
            </w:pPr>
            <w:r w:rsidRPr="00581EE5"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 xml:space="preserve">Контейнер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лля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использованных наконечников  для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иммунохемилюминисцентного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анализатора  PATHFAST (в упаковке 10 штук)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163 000,00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163 000,00</w:t>
            </w:r>
          </w:p>
        </w:tc>
      </w:tr>
      <w:tr w:rsidR="00581EE5" w:rsidRPr="00581EE5" w:rsidTr="00581EE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581EE5">
              <w:rPr>
                <w:rFonts w:cs="Times New Roman"/>
                <w:sz w:val="19"/>
                <w:szCs w:val="19"/>
                <w:lang w:val="kk-KZ"/>
              </w:rPr>
              <w:t>5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 xml:space="preserve">Бумага для принтера для 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иммунохемилюминисцентного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анализатора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Pathfast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(в упаковке 10 рулонов)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22 000,00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22 000,00</w:t>
            </w:r>
          </w:p>
        </w:tc>
      </w:tr>
    </w:tbl>
    <w:p w:rsidR="007A01F1" w:rsidRPr="007008EB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7008EB" w:rsidTr="00F65F58">
        <w:tc>
          <w:tcPr>
            <w:tcW w:w="4927" w:type="dxa"/>
          </w:tcPr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сома </w:t>
            </w:r>
            <w:r w:rsidR="00581EE5">
              <w:rPr>
                <w:rFonts w:cs="Times New Roman"/>
                <w:sz w:val="20"/>
                <w:szCs w:val="20"/>
                <w:lang w:val="kk-KZ"/>
              </w:rPr>
              <w:t>3 135 000</w:t>
            </w:r>
            <w:r w:rsidR="007008EB" w:rsidRPr="007008EB">
              <w:rPr>
                <w:rFonts w:cs="Times New Roman"/>
                <w:sz w:val="20"/>
                <w:szCs w:val="20"/>
              </w:rPr>
              <w:t>,00</w:t>
            </w:r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r w:rsidR="00581EE5">
              <w:rPr>
                <w:rFonts w:cs="Times New Roman"/>
                <w:sz w:val="20"/>
                <w:szCs w:val="20"/>
                <w:lang w:val="kk-KZ"/>
              </w:rPr>
              <w:t>үш миллион бі</w:t>
            </w:r>
            <w:proofErr w:type="gramStart"/>
            <w:r w:rsidR="00581EE5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="00581EE5">
              <w:rPr>
                <w:rFonts w:cs="Times New Roman"/>
                <w:sz w:val="20"/>
                <w:szCs w:val="20"/>
                <w:lang w:val="kk-KZ"/>
              </w:rPr>
              <w:t xml:space="preserve"> жүз отыз бес мың</w:t>
            </w:r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25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7008EB">
              <w:rPr>
                <w:rFonts w:cs="Times New Roman"/>
                <w:sz w:val="20"/>
                <w:szCs w:val="20"/>
              </w:rPr>
              <w:t>: 09:</w:t>
            </w:r>
            <w:r w:rsidRPr="007008EB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25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7008EB">
              <w:rPr>
                <w:rFonts w:cs="Times New Roman"/>
                <w:sz w:val="20"/>
                <w:szCs w:val="20"/>
              </w:rPr>
              <w:t>:</w:t>
            </w:r>
            <w:r w:rsidR="00581EE5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r w:rsidRPr="007008EB">
              <w:rPr>
                <w:rFonts w:cs="Times New Roman"/>
                <w:sz w:val="20"/>
                <w:szCs w:val="20"/>
              </w:rPr>
              <w:lastRenderedPageBreak/>
              <w:t>51, 201 кабинет.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lastRenderedPageBreak/>
              <w:t>психотроптық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7008EB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581EE5">
              <w:rPr>
                <w:sz w:val="20"/>
                <w:szCs w:val="20"/>
                <w:lang w:val="kk-KZ"/>
              </w:rPr>
              <w:t>3 135 000</w:t>
            </w:r>
            <w:r w:rsidR="007008EB" w:rsidRPr="007008EB">
              <w:rPr>
                <w:sz w:val="20"/>
                <w:szCs w:val="20"/>
              </w:rPr>
              <w:t>,</w:t>
            </w:r>
            <w:r w:rsidR="006F6B09" w:rsidRPr="007008EB">
              <w:rPr>
                <w:sz w:val="20"/>
                <w:szCs w:val="20"/>
              </w:rPr>
              <w:t>00</w:t>
            </w:r>
            <w:r w:rsidRPr="007008EB">
              <w:rPr>
                <w:sz w:val="20"/>
                <w:szCs w:val="20"/>
              </w:rPr>
              <w:t xml:space="preserve"> (</w:t>
            </w:r>
            <w:r w:rsidR="00581EE5">
              <w:rPr>
                <w:sz w:val="20"/>
                <w:szCs w:val="20"/>
                <w:lang w:val="kk-KZ"/>
              </w:rPr>
              <w:t>три миллона сто тридцать пять тысяч</w:t>
            </w:r>
            <w:r w:rsidRPr="007008EB">
              <w:rPr>
                <w:sz w:val="20"/>
                <w:szCs w:val="20"/>
              </w:rPr>
              <w:t>) тенге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Место поставки то</w:t>
            </w:r>
            <w:bookmarkStart w:id="0" w:name="_GoBack"/>
            <w:bookmarkEnd w:id="0"/>
            <w:r w:rsidRPr="007008EB">
              <w:rPr>
                <w:rFonts w:cs="Times New Roman"/>
                <w:sz w:val="20"/>
                <w:szCs w:val="20"/>
              </w:rPr>
              <w:t xml:space="preserve">вара: АО «Национальный научный центр хирургии им.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25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25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7008EB">
              <w:rPr>
                <w:rFonts w:cs="Times New Roman"/>
                <w:sz w:val="20"/>
                <w:szCs w:val="20"/>
              </w:rPr>
              <w:t>:</w:t>
            </w:r>
            <w:r w:rsidR="00581EE5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7008EB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lastRenderedPageBreak/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7008EB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7008EB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7008EB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7008EB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7008EB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lastRenderedPageBreak/>
              <w:t>информационных системах государственных органов.</w:t>
            </w:r>
            <w:proofErr w:type="gramEnd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7008EB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008EB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7008EB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7008EB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7008EB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7008EB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7008EB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7008EB" w:rsidRDefault="007A01F1" w:rsidP="00A957B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7008EB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7"/>
            <w:bookmarkEnd w:id="12"/>
          </w:p>
        </w:tc>
      </w:tr>
    </w:tbl>
    <w:p w:rsidR="00E4253F" w:rsidRPr="007008EB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7008EB" w:rsidTr="00F65F58">
        <w:tc>
          <w:tcPr>
            <w:tcW w:w="3085" w:type="dxa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7008EB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алу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бө</w:t>
            </w:r>
            <w:proofErr w:type="gramStart"/>
            <w:r w:rsidRPr="007008EB">
              <w:rPr>
                <w:rFonts w:ascii="Times New Roman" w:hAnsi="Times New Roman"/>
                <w:b/>
              </w:rPr>
              <w:t>л</w:t>
            </w:r>
            <w:proofErr w:type="gramEnd"/>
            <w:r w:rsidRPr="007008EB">
              <w:rPr>
                <w:rFonts w:ascii="Times New Roman" w:hAnsi="Times New Roman"/>
                <w:b/>
              </w:rPr>
              <w:t>ім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7008EB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7008EB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7008EB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7008EB" w:rsidRDefault="00E4253F" w:rsidP="0048597F">
      <w:pPr>
        <w:rPr>
          <w:rFonts w:cs="Times New Roman"/>
          <w:sz w:val="22"/>
          <w:szCs w:val="22"/>
        </w:rPr>
      </w:pPr>
    </w:p>
    <w:p w:rsidR="0080080F" w:rsidRPr="007008EB" w:rsidRDefault="007A01F1" w:rsidP="0048597F">
      <w:pPr>
        <w:rPr>
          <w:rFonts w:cs="Times New Roman"/>
          <w:sz w:val="20"/>
          <w:szCs w:val="20"/>
        </w:rPr>
      </w:pPr>
      <w:proofErr w:type="spellStart"/>
      <w:r w:rsidRPr="007008EB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7008EB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7008EB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7008EB">
        <w:rPr>
          <w:rFonts w:cs="Times New Roman"/>
          <w:i/>
          <w:sz w:val="20"/>
          <w:szCs w:val="20"/>
        </w:rPr>
        <w:t xml:space="preserve"> К.</w:t>
      </w:r>
    </w:p>
    <w:p w:rsidR="0086053E" w:rsidRPr="007008EB" w:rsidRDefault="0080080F" w:rsidP="0048597F">
      <w:pPr>
        <w:rPr>
          <w:rFonts w:cs="Times New Roman"/>
          <w:sz w:val="20"/>
          <w:szCs w:val="20"/>
        </w:rPr>
      </w:pPr>
      <w:r w:rsidRPr="007008EB">
        <w:rPr>
          <w:rFonts w:cs="Times New Roman"/>
          <w:i/>
          <w:sz w:val="20"/>
          <w:szCs w:val="20"/>
        </w:rPr>
        <w:t>8-727-278-04-44</w:t>
      </w:r>
    </w:p>
    <w:sectPr w:rsidR="0086053E" w:rsidRPr="007008EB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87534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81EE5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6F6B09"/>
    <w:rsid w:val="007008EB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57B8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41790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1236-CE1A-4ADE-9D96-75A81F51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158</cp:revision>
  <cp:lastPrinted>2023-01-18T03:51:00Z</cp:lastPrinted>
  <dcterms:created xsi:type="dcterms:W3CDTF">2019-01-15T05:22:00Z</dcterms:created>
  <dcterms:modified xsi:type="dcterms:W3CDTF">2023-01-18T03:52:00Z</dcterms:modified>
</cp:coreProperties>
</file>