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7A01F1"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21270E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9F68BC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9F68BC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17</w:t>
            </w:r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9F68BC">
              <w:rPr>
                <w:rFonts w:cs="Times New Roman"/>
                <w:sz w:val="20"/>
                <w:szCs w:val="20"/>
              </w:rPr>
              <w:t>января</w:t>
            </w:r>
            <w:r w:rsidRPr="009F68BC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9F68BC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9F68BC">
              <w:rPr>
                <w:rStyle w:val="s1"/>
                <w:sz w:val="20"/>
                <w:szCs w:val="20"/>
              </w:rPr>
              <w:t>«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9F68BC">
              <w:rPr>
                <w:rStyle w:val="s1"/>
                <w:sz w:val="20"/>
                <w:szCs w:val="20"/>
              </w:rPr>
              <w:t>»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9F68BC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144"/>
        <w:gridCol w:w="992"/>
        <w:gridCol w:w="993"/>
        <w:gridCol w:w="1447"/>
        <w:gridCol w:w="1418"/>
      </w:tblGrid>
      <w:tr w:rsidR="007A01F1" w:rsidRPr="009F68BC" w:rsidTr="0018753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9F68BC" w:rsidRDefault="007A01F1" w:rsidP="00187534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9F68BC" w:rsidRDefault="007A01F1" w:rsidP="00187534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144" w:type="dxa"/>
            <w:shd w:val="clear" w:color="000000" w:fill="FFFFFF"/>
            <w:vAlign w:val="center"/>
            <w:hideMark/>
          </w:tcPr>
          <w:p w:rsidR="007A01F1" w:rsidRPr="009F68BC" w:rsidRDefault="007A01F1" w:rsidP="0018753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9F68BC" w:rsidRDefault="007A01F1" w:rsidP="0018753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01F1" w:rsidRPr="009F68BC" w:rsidRDefault="007A01F1" w:rsidP="00187534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9F68BC" w:rsidRDefault="007A01F1" w:rsidP="00187534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9F68BC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9F68BC" w:rsidRDefault="007A01F1" w:rsidP="0018753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187534" w:rsidRPr="009F68BC" w:rsidTr="0018753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87534" w:rsidRPr="009F68BC" w:rsidRDefault="00187534" w:rsidP="00187534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Тест-картридж из «автоматический </w:t>
            </w:r>
            <w:proofErr w:type="spellStart"/>
            <w:r>
              <w:rPr>
                <w:color w:val="000000"/>
                <w:sz w:val="22"/>
                <w:szCs w:val="22"/>
              </w:rPr>
              <w:t>таймерсвертываемости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крови </w:t>
            </w:r>
            <w:proofErr w:type="spellStart"/>
            <w:r>
              <w:rPr>
                <w:color w:val="000000"/>
                <w:sz w:val="22"/>
                <w:szCs w:val="22"/>
              </w:rPr>
              <w:t>ACTс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принадлежностями</w:t>
            </w:r>
            <w:proofErr w:type="gramStart"/>
            <w:r>
              <w:rPr>
                <w:color w:val="000000"/>
                <w:sz w:val="22"/>
                <w:szCs w:val="22"/>
              </w:rPr>
              <w:t>»к</w:t>
            </w:r>
            <w:proofErr w:type="gramEnd"/>
            <w:r>
              <w:rPr>
                <w:color w:val="000000"/>
                <w:sz w:val="22"/>
                <w:szCs w:val="22"/>
              </w:rPr>
              <w:t>артриджи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50 к  автоматическому </w:t>
            </w:r>
            <w:proofErr w:type="spellStart"/>
            <w:r>
              <w:rPr>
                <w:color w:val="000000"/>
                <w:sz w:val="22"/>
                <w:szCs w:val="22"/>
              </w:rPr>
              <w:t>коагуляционному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таймеру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4 000 000,00</w:t>
            </w:r>
          </w:p>
        </w:tc>
      </w:tr>
      <w:tr w:rsidR="00187534" w:rsidRPr="009F68BC" w:rsidTr="00187534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87534" w:rsidRPr="009F68BC" w:rsidRDefault="00187534" w:rsidP="00187534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Микрокюветы для анализатора  </w:t>
            </w:r>
            <w:proofErr w:type="spellStart"/>
            <w:r>
              <w:rPr>
                <w:color w:val="000000"/>
                <w:sz w:val="22"/>
                <w:szCs w:val="22"/>
              </w:rPr>
              <w:t>HemoCue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Glucose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 RT, №100 для определения глюкозы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870 000,00</w:t>
            </w:r>
          </w:p>
        </w:tc>
      </w:tr>
      <w:tr w:rsidR="00187534" w:rsidRPr="009F68BC" w:rsidTr="0018753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87534" w:rsidRPr="009F68BC" w:rsidRDefault="00187534" w:rsidP="00187534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HemoCue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/>
                <w:sz w:val="22"/>
                <w:szCs w:val="22"/>
              </w:rPr>
              <w:t>Plasma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Low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№100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104 000,00</w:t>
            </w:r>
          </w:p>
        </w:tc>
      </w:tr>
      <w:tr w:rsidR="00187534" w:rsidRPr="009F68BC" w:rsidTr="0018753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87534" w:rsidRPr="006F6B09" w:rsidRDefault="00187534" w:rsidP="00187534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187534" w:rsidRPr="00187534" w:rsidRDefault="00187534" w:rsidP="00187534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Стаканы для сбора мочи 100 мл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палстиковые с  крышкой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215 000,00</w:t>
            </w:r>
          </w:p>
        </w:tc>
      </w:tr>
      <w:tr w:rsidR="00187534" w:rsidRPr="009F68BC" w:rsidTr="0018753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87534" w:rsidRPr="006F6B09" w:rsidRDefault="00187534" w:rsidP="00187534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Наконечники к автоматическим пипеткам до 1000 </w:t>
            </w:r>
            <w:proofErr w:type="spellStart"/>
            <w:r>
              <w:rPr>
                <w:color w:val="000000"/>
                <w:sz w:val="22"/>
                <w:szCs w:val="22"/>
              </w:rPr>
              <w:t>мкл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голубой, по 500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в упаковке.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31 500,00</w:t>
            </w:r>
          </w:p>
        </w:tc>
      </w:tr>
      <w:tr w:rsidR="00187534" w:rsidRPr="009F68BC" w:rsidTr="0018753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87534" w:rsidRPr="006F6B09" w:rsidRDefault="00187534" w:rsidP="00187534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Наконечники к автоматическим пипеткам до 200 </w:t>
            </w:r>
            <w:proofErr w:type="spellStart"/>
            <w:r>
              <w:rPr>
                <w:color w:val="000000"/>
                <w:sz w:val="22"/>
                <w:szCs w:val="22"/>
              </w:rPr>
              <w:t>мкл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желтый, по 1000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в упаковке.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40 500,00</w:t>
            </w:r>
          </w:p>
        </w:tc>
      </w:tr>
      <w:tr w:rsidR="00187534" w:rsidRPr="009F68BC" w:rsidTr="0018753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Наконечники к автоматическим пипеткам до 5000 </w:t>
            </w:r>
            <w:proofErr w:type="spellStart"/>
            <w:r>
              <w:rPr>
                <w:color w:val="000000"/>
                <w:sz w:val="22"/>
                <w:szCs w:val="22"/>
              </w:rPr>
              <w:t>мкл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по 1000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в упаковке. Для CAPP пипеток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7534" w:rsidRDefault="00187534" w:rsidP="00187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</w:tbl>
    <w:p w:rsidR="007A01F1" w:rsidRPr="009F68BC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F65F58">
        <w:tc>
          <w:tcPr>
            <w:tcW w:w="4927" w:type="dxa"/>
          </w:tcPr>
          <w:p w:rsidR="007A01F1" w:rsidRPr="00187534" w:rsidRDefault="007A01F1" w:rsidP="00F65F58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сома </w:t>
            </w:r>
            <w:r w:rsidR="00187534">
              <w:rPr>
                <w:rFonts w:cs="Times New Roman"/>
                <w:sz w:val="20"/>
                <w:szCs w:val="20"/>
                <w:lang w:val="kk-KZ"/>
              </w:rPr>
              <w:t>5 271 000,00</w:t>
            </w:r>
            <w:r w:rsidRPr="00187534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  <w:r w:rsidR="00187534">
              <w:rPr>
                <w:rFonts w:cs="Times New Roman"/>
                <w:sz w:val="20"/>
                <w:szCs w:val="20"/>
                <w:lang w:val="kk-KZ"/>
              </w:rPr>
              <w:t>бес миллион екі жүз жетпіс бі</w:t>
            </w:r>
            <w:proofErr w:type="gramStart"/>
            <w:r w:rsidR="00187534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187534">
              <w:rPr>
                <w:rFonts w:cs="Times New Roman"/>
                <w:sz w:val="20"/>
                <w:szCs w:val="20"/>
                <w:lang w:val="kk-KZ"/>
              </w:rPr>
              <w:t xml:space="preserve"> мың</w:t>
            </w:r>
            <w:r w:rsidRPr="00187534">
              <w:rPr>
                <w:rFonts w:cs="Times New Roman"/>
                <w:sz w:val="20"/>
                <w:szCs w:val="20"/>
                <w:lang w:val="kk-KZ"/>
              </w:rPr>
              <w:t>) теңге.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9F68BC">
              <w:rPr>
                <w:rFonts w:cs="Times New Roman"/>
                <w:sz w:val="20"/>
                <w:szCs w:val="20"/>
              </w:rPr>
              <w:t>: 09:</w:t>
            </w:r>
            <w:r w:rsidRPr="009F68BC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lastRenderedPageBreak/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187534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9F68BC">
              <w:rPr>
                <w:rFonts w:cs="Times New Roman"/>
                <w:sz w:val="20"/>
                <w:szCs w:val="20"/>
              </w:rPr>
              <w:t>:</w:t>
            </w:r>
            <w:r w:rsidR="00187534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lastRenderedPageBreak/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9F68BC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6F6B0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6F6B09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187534">
              <w:rPr>
                <w:sz w:val="20"/>
                <w:szCs w:val="20"/>
                <w:lang w:val="kk-KZ"/>
              </w:rPr>
              <w:t>5 271 000</w:t>
            </w:r>
            <w:r w:rsidR="006F6B09" w:rsidRPr="006F6B09">
              <w:rPr>
                <w:sz w:val="20"/>
                <w:szCs w:val="20"/>
              </w:rPr>
              <w:t>,00</w:t>
            </w:r>
            <w:r w:rsidRPr="006F6B09">
              <w:rPr>
                <w:sz w:val="20"/>
                <w:szCs w:val="20"/>
              </w:rPr>
              <w:t xml:space="preserve"> (</w:t>
            </w:r>
            <w:r w:rsidR="00187534">
              <w:rPr>
                <w:sz w:val="20"/>
                <w:szCs w:val="20"/>
                <w:lang w:val="kk-KZ"/>
              </w:rPr>
              <w:t>пять миллионов двести семьдесят одна тысяча</w:t>
            </w:r>
            <w:r w:rsidRPr="006F6B09">
              <w:rPr>
                <w:sz w:val="20"/>
                <w:szCs w:val="20"/>
              </w:rPr>
              <w:t>) тенге</w:t>
            </w:r>
            <w:r w:rsidRPr="006F6B0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6F6B09">
              <w:rPr>
                <w:rFonts w:cs="Times New Roman"/>
                <w:sz w:val="20"/>
                <w:szCs w:val="20"/>
              </w:rPr>
              <w:t>Поставка товара</w:t>
            </w:r>
            <w:r w:rsidRPr="009F68BC">
              <w:rPr>
                <w:rFonts w:cs="Times New Roman"/>
                <w:sz w:val="20"/>
                <w:szCs w:val="20"/>
              </w:rPr>
              <w:t xml:space="preserve"> производиться частями в течение 5 - и календарных дней текущего года по заявке Заказчика.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lastRenderedPageBreak/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87534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9F68BC">
              <w:rPr>
                <w:rFonts w:cs="Times New Roman"/>
                <w:sz w:val="20"/>
                <w:szCs w:val="20"/>
              </w:rPr>
              <w:t>:</w:t>
            </w:r>
            <w:r w:rsidR="00187534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="006F6B09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9F68BC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9F68BC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9F68BC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9F68BC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9F68BC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lastRenderedPageBreak/>
              <w:t>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9F68BC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9F68BC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9F68BC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9F68BC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9F68BC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957B8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bookmarkStart w:id="12" w:name="z398"/>
            <w:r w:rsidRPr="009F68BC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7"/>
            <w:bookmarkEnd w:id="12"/>
          </w:p>
        </w:tc>
      </w:tr>
    </w:tbl>
    <w:p w:rsidR="00E4253F" w:rsidRPr="009F68BC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9F68BC" w:rsidTr="00F65F58">
        <w:tc>
          <w:tcPr>
            <w:tcW w:w="3085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алу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бө</w:t>
            </w:r>
            <w:proofErr w:type="gramStart"/>
            <w:r w:rsidRPr="009F68BC">
              <w:rPr>
                <w:rFonts w:ascii="Times New Roman" w:hAnsi="Times New Roman"/>
                <w:b/>
              </w:rPr>
              <w:t>л</w:t>
            </w:r>
            <w:proofErr w:type="gramEnd"/>
            <w:r w:rsidRPr="009F68BC">
              <w:rPr>
                <w:rFonts w:ascii="Times New Roman" w:hAnsi="Times New Roman"/>
                <w:b/>
              </w:rPr>
              <w:t>ім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9F68BC" w:rsidRDefault="00E4253F" w:rsidP="0048597F">
      <w:pPr>
        <w:rPr>
          <w:rFonts w:cs="Times New Roman"/>
          <w:sz w:val="22"/>
          <w:szCs w:val="22"/>
        </w:rPr>
      </w:pPr>
    </w:p>
    <w:p w:rsidR="0080080F" w:rsidRPr="009F68BC" w:rsidRDefault="007A01F1" w:rsidP="0048597F">
      <w:pPr>
        <w:rPr>
          <w:rFonts w:cs="Times New Roman"/>
          <w:sz w:val="20"/>
          <w:szCs w:val="20"/>
        </w:rPr>
      </w:pPr>
      <w:proofErr w:type="spellStart"/>
      <w:r w:rsidRPr="009F68BC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9F68BC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9F68BC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9F68BC">
        <w:rPr>
          <w:rFonts w:cs="Times New Roman"/>
          <w:i/>
          <w:sz w:val="20"/>
          <w:szCs w:val="20"/>
        </w:rPr>
        <w:t xml:space="preserve"> К.</w:t>
      </w:r>
    </w:p>
    <w:p w:rsidR="0086053E" w:rsidRPr="009F68BC" w:rsidRDefault="0080080F" w:rsidP="0048597F">
      <w:pPr>
        <w:rPr>
          <w:rFonts w:cs="Times New Roman"/>
          <w:sz w:val="20"/>
          <w:szCs w:val="20"/>
        </w:rPr>
      </w:pPr>
      <w:r w:rsidRPr="009F68BC">
        <w:rPr>
          <w:rFonts w:cs="Times New Roman"/>
          <w:i/>
          <w:sz w:val="20"/>
          <w:szCs w:val="20"/>
        </w:rPr>
        <w:t>8-727-278-04-44</w:t>
      </w:r>
    </w:p>
    <w:sectPr w:rsidR="0086053E" w:rsidRPr="009F68BC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87534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6F6B09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41790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9B82-2C58-4F5C-8445-710A308D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154</cp:revision>
  <cp:lastPrinted>2023-01-18T03:38:00Z</cp:lastPrinted>
  <dcterms:created xsi:type="dcterms:W3CDTF">2019-01-15T05:22:00Z</dcterms:created>
  <dcterms:modified xsi:type="dcterms:W3CDTF">2023-01-18T03:39:00Z</dcterms:modified>
</cp:coreProperties>
</file>