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E24C4" w:rsidRPr="006E24C4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6E24C4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DC4258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.2023ж. 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4732B8">
              <w:rPr>
                <w:rFonts w:cs="Times New Roman"/>
                <w:sz w:val="20"/>
                <w:szCs w:val="20"/>
              </w:rPr>
              <w:t>: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4732B8">
              <w:rPr>
                <w:rFonts w:cs="Times New Roman"/>
                <w:sz w:val="20"/>
                <w:szCs w:val="20"/>
              </w:rPr>
              <w:t>0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4732B8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6E24C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«</w:t>
            </w:r>
            <w:r w:rsidR="006E24C4" w:rsidRPr="006E24C4">
              <w:rPr>
                <w:color w:val="000000"/>
                <w:sz w:val="20"/>
                <w:szCs w:val="20"/>
                <w:lang w:val="kk-KZ"/>
              </w:rPr>
              <w:t>Sysmex Corporation аксессуарларымен бірге CS-2500 Автоматты қан ұю анализаторына арналған реагенттер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сома </w:t>
            </w:r>
            <w:r w:rsidR="006E24C4" w:rsidRPr="00E64CF0">
              <w:rPr>
                <w:sz w:val="20"/>
                <w:szCs w:val="20"/>
              </w:rPr>
              <w:t xml:space="preserve">16 957 391,00 </w:t>
            </w:r>
            <w:r w:rsidR="006E24C4" w:rsidRPr="00E64CF0">
              <w:rPr>
                <w:rFonts w:cs="Times New Roman"/>
                <w:sz w:val="20"/>
                <w:szCs w:val="20"/>
              </w:rPr>
              <w:t>(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он алты миллион тоғыз жү</w:t>
            </w:r>
            <w:proofErr w:type="gramStart"/>
            <w:r w:rsidR="006E24C4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6E24C4">
              <w:rPr>
                <w:rFonts w:cs="Times New Roman"/>
                <w:sz w:val="20"/>
                <w:szCs w:val="20"/>
                <w:lang w:val="kk-KZ"/>
              </w:rPr>
              <w:t xml:space="preserve"> жеті мың үш жүз тоқсан бір</w:t>
            </w:r>
            <w:r w:rsidR="006E24C4"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E24C4" w:rsidRPr="00E64CF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6E24C4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24C4" w:rsidRPr="006E24C4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повторных</w:t>
            </w:r>
            <w:r w:rsidRPr="004732B8">
              <w:rPr>
                <w:rFonts w:cs="Times New Roman"/>
                <w:b/>
                <w:sz w:val="20"/>
                <w:szCs w:val="20"/>
              </w:rPr>
              <w:t xml:space="preserve"> закупок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732B8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DC4258" w:rsidRPr="004732B8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4732B8">
              <w:rPr>
                <w:rFonts w:cs="Times New Roman"/>
                <w:sz w:val="20"/>
                <w:szCs w:val="20"/>
              </w:rPr>
              <w:t xml:space="preserve">.2023г. 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6E24C4">
              <w:rPr>
                <w:rFonts w:cs="Times New Roman"/>
                <w:sz w:val="20"/>
                <w:szCs w:val="20"/>
              </w:rPr>
              <w:t>: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4732B8">
              <w:rPr>
                <w:rFonts w:cs="Times New Roman"/>
                <w:sz w:val="20"/>
                <w:szCs w:val="20"/>
              </w:rPr>
              <w:t>0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4732B8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4732B8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4732B8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4732B8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4732B8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4732B8">
              <w:rPr>
                <w:rStyle w:val="s1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732B8">
              <w:rPr>
                <w:rStyle w:val="s1"/>
                <w:sz w:val="20"/>
                <w:szCs w:val="20"/>
              </w:rPr>
              <w:t xml:space="preserve"> «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4732B8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 xml:space="preserve">Регенты </w:t>
            </w:r>
            <w:r w:rsidR="006E24C4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E24C4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6E24C4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6E24C4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6E24C4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6E24C4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6E24C4" w:rsidRPr="00E64CF0">
              <w:rPr>
                <w:sz w:val="20"/>
                <w:szCs w:val="20"/>
              </w:rPr>
              <w:t>16 957 391,00 (шестнадцать миллионов девятьсот пятьдесят семь тысяч триста девяносто одна) тенге</w:t>
            </w:r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E55421">
        <w:trPr>
          <w:trHeight w:val="25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E55421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6E24C4" w:rsidRDefault="00165B46" w:rsidP="006E24C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</w:rPr>
              <w:t>ЖШС «</w:t>
            </w:r>
            <w:r w:rsidR="006E24C4">
              <w:rPr>
                <w:rFonts w:cs="Times New Roman"/>
                <w:sz w:val="18"/>
                <w:szCs w:val="18"/>
                <w:lang w:val="en-US"/>
              </w:rPr>
              <w:t xml:space="preserve">Wellness </w:t>
            </w:r>
            <w:proofErr w:type="spellStart"/>
            <w:r w:rsidR="006E24C4">
              <w:rPr>
                <w:rFonts w:cs="Times New Roman"/>
                <w:sz w:val="18"/>
                <w:szCs w:val="18"/>
                <w:lang w:val="en-US"/>
              </w:rPr>
              <w:t>Inc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»</w:t>
            </w:r>
            <w:r w:rsidR="006E24C4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D9039E" w:rsidP="006E24C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6E24C4">
              <w:rPr>
                <w:rFonts w:cs="Times New Roman"/>
                <w:sz w:val="18"/>
                <w:szCs w:val="18"/>
                <w:lang w:val="kk-KZ"/>
              </w:rPr>
              <w:t>Бөгенбай Батыр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6E24C4">
              <w:rPr>
                <w:rFonts w:cs="Times New Roman"/>
                <w:sz w:val="18"/>
                <w:szCs w:val="18"/>
                <w:lang w:val="kk-KZ"/>
              </w:rPr>
              <w:t>142, 921 кабинет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6E24C4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="005D1FE4" w:rsidRPr="00355A59">
              <w:rPr>
                <w:rFonts w:cs="Times New Roman"/>
                <w:sz w:val="18"/>
                <w:szCs w:val="18"/>
              </w:rPr>
              <w:t>.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5D1FE4"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355A59" w:rsidRDefault="006E24C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4732B8" w:rsidTr="004732B8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732B8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4732B8" w:rsidRDefault="005D1FE4" w:rsidP="004732B8">
            <w:pPr>
              <w:rPr>
                <w:rFonts w:cs="Times New Roman"/>
                <w:b/>
                <w:sz w:val="18"/>
                <w:szCs w:val="18"/>
              </w:rPr>
            </w:pPr>
            <w:r w:rsidRPr="004732B8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4732B8" w:rsidRDefault="005D1FE4" w:rsidP="004732B8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732B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732B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732B8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Pr="006E24C4">
              <w:rPr>
                <w:rFonts w:cs="Times New Roman"/>
                <w:b/>
                <w:sz w:val="18"/>
                <w:szCs w:val="18"/>
              </w:rPr>
              <w:t>Цена за единицу ЖШС «</w:t>
            </w:r>
            <w:r w:rsidR="006E24C4" w:rsidRPr="006E24C4">
              <w:rPr>
                <w:rFonts w:cs="Times New Roman"/>
                <w:b/>
                <w:sz w:val="18"/>
                <w:szCs w:val="18"/>
                <w:lang w:val="en-US"/>
              </w:rPr>
              <w:t xml:space="preserve">Wellness </w:t>
            </w:r>
            <w:proofErr w:type="spellStart"/>
            <w:r w:rsidR="006E24C4" w:rsidRPr="006E24C4">
              <w:rPr>
                <w:rFonts w:cs="Times New Roman"/>
                <w:b/>
                <w:sz w:val="18"/>
                <w:szCs w:val="18"/>
                <w:lang w:val="en-US"/>
              </w:rPr>
              <w:t>Inc</w:t>
            </w:r>
            <w:proofErr w:type="spellEnd"/>
            <w:r w:rsidRPr="006E24C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ТРОМБОРЕЛЬ С - человеческий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тромбопластин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для определения ПВ (ПТИ), МНО, фибриногена  и факторов II, V,VII,X, 10 x 10 мл/ 1000 тестов для автоматического анализатора свертываемости крови CS-2500 в комплекте </w:t>
            </w:r>
            <w:r w:rsidRPr="006E24C4">
              <w:rPr>
                <w:rFonts w:cs="Times New Roman"/>
                <w:sz w:val="16"/>
                <w:szCs w:val="16"/>
              </w:rPr>
              <w:lastRenderedPageBreak/>
              <w:t>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lastRenderedPageBreak/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70 380,00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ТЕСТ ТРОМБИН - реагент для определения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тромбинового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времени 10 x 5 мл тромбина, 1x55 мл буфера, 10 x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 500 тестов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 400 тестов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30 936,00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МУЛЬТИФИБРЕН "U" (бычий), 10 x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5.0 мл/ 500 тестов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52 416,00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</w:rPr>
            </w:pPr>
            <w:r w:rsidRPr="004732B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PT-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Multi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calibrator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(6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levels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) (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мультикалибратор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), 6 x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74 880,00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4732B8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Fibrinogen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standards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level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1-6 (калибратор), Стандартный уровень 1-6 Фибриногена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113 280,00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фиброноген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, факторы II, V, VII, VIII, IX, X, XI, XII, BT,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анититромбин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III, Протеин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 xml:space="preserve"> С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 xml:space="preserve">, Протеин S,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ProCGlobal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/FV,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ProCAc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R, альфа-2-антиплазмин,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плазминоген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Виллебранда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, 10 x 1.0 мл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Sysmеx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74 520,00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732B8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фиброноген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, факторы II, V, VII, VIII, IX, X, XI, XII, BT,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анититромбин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III, Протеин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 xml:space="preserve"> С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 xml:space="preserve">, Протеин S,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ProCGlobal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/FV,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ProCAc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R, альфа-2-антиплазмин,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плазминоген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, общая функция комплемента, С1-ингибитор, фактор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Виллебранда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, 10 x 1.0 мл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Sysmеx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93 600,00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Хлорид кальция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Calcium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chloride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solution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0,025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/l, 10 x 15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21 120,00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Реакционные кюветы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Cuvettes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кюветы, 1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Unit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 3000 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4732B8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E24C4">
              <w:rPr>
                <w:rFonts w:cs="Times New Roman"/>
                <w:color w:val="000000"/>
                <w:sz w:val="16"/>
                <w:szCs w:val="16"/>
                <w:lang w:val="kk-KZ"/>
              </w:rPr>
              <w:t>276 000,00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Plasma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cups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(1.5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) кюветы для образца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34 765,00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CA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Clean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I (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cleaner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) промывочный раствор, 1 x 50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4732B8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E24C4">
              <w:rPr>
                <w:rFonts w:cs="Times New Roman"/>
                <w:color w:val="000000"/>
                <w:sz w:val="16"/>
                <w:szCs w:val="16"/>
                <w:lang w:val="kk-KZ"/>
              </w:rPr>
              <w:t>30 000,00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CA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Clean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II (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rinse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) промывочный раствор 1 x 500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98 010,00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4732B8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E24C4">
              <w:rPr>
                <w:rFonts w:cs="Times New Roman"/>
                <w:color w:val="000000"/>
                <w:sz w:val="16"/>
                <w:szCs w:val="16"/>
                <w:lang w:val="kk-KZ"/>
              </w:rPr>
              <w:t>98 000,00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Буфер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Оурена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вароналовый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10*15 мл для автоматического анализатора </w:t>
            </w:r>
            <w:r w:rsidRPr="006E24C4">
              <w:rPr>
                <w:rFonts w:cs="Times New Roman"/>
                <w:sz w:val="16"/>
                <w:szCs w:val="16"/>
              </w:rPr>
              <w:lastRenderedPageBreak/>
              <w:t>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lastRenderedPageBreak/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71 280,00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 xml:space="preserve">Реакционные чашки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Dade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Behring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2х250 </w:t>
            </w:r>
            <w:proofErr w:type="spellStart"/>
            <w:proofErr w:type="gramStart"/>
            <w:r w:rsidRPr="006E24C4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6E24C4">
              <w:rPr>
                <w:rFonts w:cs="Times New Roman"/>
                <w:sz w:val="16"/>
                <w:szCs w:val="16"/>
              </w:rPr>
              <w:t xml:space="preserve">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Sysmеx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351 360,00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Thrombin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reagent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100 I. 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 xml:space="preserve">U. 10 x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(Реагент для определения Тромбина 100 I.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 xml:space="preserve"> U. 10 x на 5 мл)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135 540,00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E24C4" w:rsidRPr="004732B8" w:rsidTr="004732B8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4C4" w:rsidRPr="004732B8" w:rsidRDefault="006E24C4" w:rsidP="004732B8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Standard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human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plasma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10 x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1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ml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(Стандартная плазма 10 x на 1 мл) для автоматического анализатора свертываемости крови CS-2500 в комплекте с</w:t>
            </w:r>
            <w:r w:rsidRPr="006E24C4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6E24C4">
              <w:rPr>
                <w:rFonts w:cs="Times New Roman"/>
                <w:sz w:val="16"/>
                <w:szCs w:val="16"/>
              </w:rPr>
              <w:t xml:space="preserve">принадлежностями к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Sysm</w:t>
            </w:r>
            <w:proofErr w:type="gramStart"/>
            <w:r w:rsidRPr="006E24C4">
              <w:rPr>
                <w:rFonts w:cs="Times New Roman"/>
                <w:sz w:val="16"/>
                <w:szCs w:val="16"/>
              </w:rPr>
              <w:t>е</w:t>
            </w:r>
            <w:proofErr w:type="gramEnd"/>
            <w:r w:rsidRPr="006E24C4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E24C4">
              <w:rPr>
                <w:rFonts w:cs="Times New Roman"/>
                <w:sz w:val="16"/>
                <w:szCs w:val="16"/>
              </w:rPr>
              <w:t>Corporation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E24C4">
              <w:rPr>
                <w:rFonts w:cs="Times New Roman"/>
                <w:sz w:val="16"/>
                <w:szCs w:val="16"/>
              </w:rPr>
              <w:t>Орам</w:t>
            </w:r>
            <w:proofErr w:type="spellEnd"/>
            <w:r w:rsidRPr="006E24C4">
              <w:rPr>
                <w:rFonts w:cs="Times New Roman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6E24C4" w:rsidRDefault="006E24C4" w:rsidP="00926BB8">
            <w:pPr>
              <w:rPr>
                <w:rFonts w:cs="Times New Roman"/>
                <w:sz w:val="16"/>
                <w:szCs w:val="16"/>
              </w:rPr>
            </w:pPr>
            <w:r w:rsidRPr="006E24C4">
              <w:rPr>
                <w:rFonts w:cs="Times New Roman"/>
                <w:sz w:val="16"/>
                <w:szCs w:val="16"/>
              </w:rPr>
              <w:t>93 600,00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4C4" w:rsidRPr="004732B8" w:rsidRDefault="006E24C4" w:rsidP="004732B8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 xml:space="preserve">6. </w:t>
            </w:r>
            <w:proofErr w:type="spellStart"/>
            <w:proofErr w:type="gramStart"/>
            <w:r w:rsidR="006E24C4" w:rsidRPr="002A7BE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="006E24C4" w:rsidRPr="002A7BE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>: ЖШС «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Wellness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INC»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жеткізушісімен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="006E24C4" w:rsidRPr="002A7BE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="006E24C4" w:rsidRPr="002A7BE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№024938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куәлігі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«Серии СА-600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қан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коагуляциясының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автоматтандырылған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анализаторы. СА-660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моделі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керек-жарақтармен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толықтырылған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» № 10, 12, 13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лоттарға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сыйысымдылығына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келмейді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өйткені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шығын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sz w:val="20"/>
                <w:szCs w:val="20"/>
              </w:rPr>
              <w:t>материалдары</w:t>
            </w:r>
            <w:proofErr w:type="spellEnd"/>
            <w:r w:rsidR="006E24C4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E24C4" w:rsidRPr="002A7BE8">
              <w:rPr>
                <w:rFonts w:cs="Times New Roman"/>
                <w:color w:val="000000"/>
                <w:sz w:val="20"/>
                <w:szCs w:val="20"/>
              </w:rPr>
              <w:t>Sysm</w:t>
            </w:r>
            <w:proofErr w:type="gramStart"/>
            <w:r w:rsidR="006E24C4" w:rsidRPr="002A7BE8">
              <w:rPr>
                <w:rFonts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6E24C4" w:rsidRPr="002A7BE8">
              <w:rPr>
                <w:rFonts w:cs="Times New Roman"/>
                <w:color w:val="000000"/>
                <w:sz w:val="20"/>
                <w:szCs w:val="20"/>
              </w:rPr>
              <w:t>x</w:t>
            </w:r>
            <w:proofErr w:type="spellEnd"/>
            <w:r w:rsidR="006E24C4" w:rsidRPr="002A7BE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аксессуарларымен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бірге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CS-2500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Автоматты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қан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ұю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анализаторы</w:t>
            </w:r>
            <w:r w:rsidR="00E55421">
              <w:rPr>
                <w:rFonts w:cs="Times New Roman"/>
                <w:sz w:val="20"/>
                <w:szCs w:val="20"/>
                <w:lang w:val="kk-KZ"/>
              </w:rPr>
              <w:t>нда жұмыс істеу</w:t>
            </w:r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үшін</w:t>
            </w:r>
            <w:bookmarkStart w:id="0" w:name="_GoBack"/>
            <w:bookmarkEnd w:id="0"/>
            <w:proofErr w:type="spellEnd"/>
            <w:r w:rsidRPr="004732B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4732B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E55421" w:rsidRDefault="008F6671" w:rsidP="00E5542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732B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4732B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55421">
              <w:rPr>
                <w:rFonts w:cs="Times New Roman"/>
                <w:sz w:val="20"/>
                <w:szCs w:val="20"/>
                <w:lang w:val="kk-KZ"/>
              </w:rPr>
              <w:t xml:space="preserve">Лоттар № 10, 12, 13 бойынша ЖШС </w:t>
            </w:r>
            <w:r w:rsidR="00E55421" w:rsidRPr="00D467A2">
              <w:rPr>
                <w:rFonts w:cs="Times New Roman"/>
                <w:sz w:val="20"/>
                <w:szCs w:val="20"/>
                <w:lang w:val="kk-KZ"/>
              </w:rPr>
              <w:t>«Wellness INC»</w:t>
            </w:r>
            <w:r w:rsidR="00E55421">
              <w:rPr>
                <w:rFonts w:cs="Times New Roman"/>
                <w:sz w:val="20"/>
                <w:szCs w:val="20"/>
                <w:lang w:val="kk-KZ"/>
              </w:rPr>
              <w:t xml:space="preserve"> өтінімі қабылданбайды</w:t>
            </w:r>
            <w:r w:rsidR="00E55421" w:rsidRPr="002A7BE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4732B8" w:rsidRDefault="00355A59" w:rsidP="00E55421">
            <w:pPr>
              <w:tabs>
                <w:tab w:val="left" w:pos="3588"/>
              </w:tabs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  <w:lang w:val="kk-KZ"/>
              </w:rPr>
              <w:t xml:space="preserve">Қағиданың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140 </w:t>
            </w:r>
            <w:r w:rsidRPr="004732B8">
              <w:rPr>
                <w:sz w:val="20"/>
                <w:szCs w:val="20"/>
                <w:lang w:val="kk-KZ"/>
              </w:rPr>
              <w:t>–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 </w:t>
            </w:r>
            <w:r w:rsidRPr="004732B8">
              <w:rPr>
                <w:sz w:val="20"/>
                <w:szCs w:val="20"/>
                <w:lang w:val="kk-KZ"/>
              </w:rPr>
              <w:t xml:space="preserve">тармағы, 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10- </w:t>
            </w:r>
            <w:r w:rsidRPr="004732B8">
              <w:rPr>
                <w:sz w:val="20"/>
                <w:szCs w:val="20"/>
                <w:lang w:val="kk-KZ"/>
              </w:rPr>
              <w:t xml:space="preserve">тарауына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сәйкес </w:t>
            </w:r>
            <w:r w:rsidRPr="004732B8">
              <w:rPr>
                <w:sz w:val="20"/>
                <w:szCs w:val="20"/>
                <w:lang w:val="kk-KZ"/>
              </w:rPr>
              <w:t xml:space="preserve">келесі </w:t>
            </w:r>
            <w:r w:rsidR="00D9039E" w:rsidRPr="004732B8">
              <w:rPr>
                <w:sz w:val="20"/>
                <w:szCs w:val="20"/>
                <w:lang w:val="kk-KZ"/>
              </w:rPr>
              <w:t xml:space="preserve">№ </w:t>
            </w:r>
            <w:r w:rsidR="00E55421">
              <w:rPr>
                <w:sz w:val="20"/>
                <w:szCs w:val="20"/>
                <w:lang w:val="en-US"/>
              </w:rPr>
              <w:t>1</w:t>
            </w:r>
            <w:r w:rsidR="00E55421">
              <w:rPr>
                <w:sz w:val="20"/>
                <w:szCs w:val="20"/>
                <w:lang w:val="kk-KZ"/>
              </w:rPr>
              <w:t>, 2, 3, 4, 5, 6, 7, 8, 9, 11, 14, 15, 16, 17</w:t>
            </w:r>
            <w:r w:rsidR="004732B8" w:rsidRPr="004732B8">
              <w:rPr>
                <w:sz w:val="20"/>
                <w:szCs w:val="20"/>
              </w:rPr>
              <w:t xml:space="preserve"> </w:t>
            </w:r>
            <w:r w:rsidR="00D9039E" w:rsidRPr="004732B8">
              <w:rPr>
                <w:sz w:val="20"/>
                <w:szCs w:val="20"/>
                <w:lang w:val="kk-KZ"/>
              </w:rPr>
              <w:t>лоттар 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4732B8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6E24C4" w:rsidRPr="00E55421" w:rsidRDefault="006E24C4" w:rsidP="006E24C4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A7BE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Поставщиком ТОО «</w:t>
            </w:r>
            <w:proofErr w:type="spellStart"/>
            <w:r w:rsidRPr="002A7BE8">
              <w:rPr>
                <w:rFonts w:cs="Times New Roman"/>
                <w:sz w:val="20"/>
                <w:szCs w:val="20"/>
              </w:rPr>
              <w:t>Wellness</w:t>
            </w:r>
            <w:proofErr w:type="spellEnd"/>
            <w:r w:rsidRPr="002A7BE8">
              <w:rPr>
                <w:rFonts w:cs="Times New Roman"/>
                <w:sz w:val="20"/>
                <w:szCs w:val="20"/>
              </w:rPr>
              <w:t xml:space="preserve"> INC» отсутствует</w:t>
            </w:r>
            <w:r w:rsidRPr="002A7BE8">
              <w:rPr>
                <w:rStyle w:val="s0"/>
                <w:sz w:val="20"/>
                <w:szCs w:val="20"/>
              </w:rPr>
              <w:t xml:space="preserve"> документ, </w:t>
            </w:r>
            <w:proofErr w:type="spellStart"/>
            <w:r w:rsidRPr="002A7BE8">
              <w:rPr>
                <w:rStyle w:val="s0"/>
                <w:sz w:val="20"/>
                <w:szCs w:val="20"/>
              </w:rPr>
              <w:t>подтверждающи</w:t>
            </w:r>
            <w:proofErr w:type="spellEnd"/>
            <w:r>
              <w:rPr>
                <w:rStyle w:val="s0"/>
                <w:sz w:val="20"/>
                <w:szCs w:val="20"/>
                <w:lang w:val="kk-KZ"/>
              </w:rPr>
              <w:t>й</w:t>
            </w:r>
            <w:r w:rsidRPr="002A7BE8">
              <w:rPr>
                <w:rStyle w:val="s0"/>
                <w:sz w:val="20"/>
                <w:szCs w:val="20"/>
              </w:rPr>
              <w:t xml:space="preserve"> соответствие предлагаемых лекарственных средств и (или) медицинских изделий требованиям, установленным </w:t>
            </w:r>
            <w:hyperlink w:anchor="sub1100" w:history="1">
              <w:r w:rsidRPr="002A7BE8">
                <w:rPr>
                  <w:rStyle w:val="a5"/>
                  <w:sz w:val="20"/>
                  <w:szCs w:val="20"/>
                </w:rPr>
                <w:t>главой 4</w:t>
              </w:r>
            </w:hyperlink>
            <w:r w:rsidRPr="002A7BE8">
              <w:rPr>
                <w:rStyle w:val="s0"/>
                <w:sz w:val="20"/>
                <w:szCs w:val="20"/>
              </w:rPr>
              <w:t xml:space="preserve"> Правил. Далее представленное Регистрационное удостоверение №024938 «Автоматизированный анализатор коагуляции крови </w:t>
            </w:r>
            <w:r w:rsidRPr="00E55421">
              <w:rPr>
                <w:rStyle w:val="s0"/>
                <w:sz w:val="20"/>
                <w:szCs w:val="20"/>
                <w:lang w:val="kk-KZ"/>
              </w:rPr>
              <w:t>серии</w:t>
            </w:r>
            <w:r w:rsidRPr="00E55421">
              <w:rPr>
                <w:rStyle w:val="s0"/>
                <w:sz w:val="20"/>
                <w:szCs w:val="20"/>
              </w:rPr>
              <w:t xml:space="preserve"> СА-600. Модель СА-660 в комплекте с принадлежностями» на лоты № 10, 12, 13 не соответствуют по совместимости, так как данные расходные материалы требуются </w:t>
            </w:r>
            <w:r w:rsidR="00E55421" w:rsidRPr="00E55421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55421" w:rsidRPr="00E5542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55421" w:rsidRPr="00E55421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55421" w:rsidRPr="00E55421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55421" w:rsidRPr="00E55421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55421" w:rsidRPr="00E5542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55421" w:rsidRPr="00E55421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E55421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4732B8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4732B8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4732B8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732B8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4732B8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4732B8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E55421" w:rsidRPr="002A7BE8" w:rsidRDefault="008F6671" w:rsidP="00E55421">
            <w:pPr>
              <w:pStyle w:val="pj"/>
              <w:ind w:firstLine="0"/>
              <w:rPr>
                <w:sz w:val="20"/>
                <w:szCs w:val="20"/>
                <w:lang w:val="kk-KZ"/>
              </w:rPr>
            </w:pPr>
            <w:r w:rsidRPr="004732B8">
              <w:rPr>
                <w:b/>
                <w:sz w:val="20"/>
                <w:szCs w:val="20"/>
              </w:rPr>
              <w:t xml:space="preserve">РЕШЕНИЕ: </w:t>
            </w:r>
            <w:r w:rsidR="00E55421" w:rsidRPr="002A7BE8">
              <w:rPr>
                <w:sz w:val="20"/>
                <w:szCs w:val="20"/>
              </w:rPr>
              <w:t xml:space="preserve">По лотам №10, 12, 13 </w:t>
            </w:r>
            <w:r w:rsidR="00E55421">
              <w:rPr>
                <w:sz w:val="20"/>
                <w:szCs w:val="20"/>
                <w:lang w:val="kk-KZ"/>
              </w:rPr>
              <w:t>заявку</w:t>
            </w:r>
            <w:r w:rsidR="00E55421" w:rsidRPr="002A7BE8">
              <w:rPr>
                <w:sz w:val="20"/>
                <w:szCs w:val="20"/>
              </w:rPr>
              <w:t xml:space="preserve"> ТОО «</w:t>
            </w:r>
            <w:proofErr w:type="spellStart"/>
            <w:r w:rsidR="00E55421" w:rsidRPr="002A7BE8">
              <w:rPr>
                <w:sz w:val="20"/>
                <w:szCs w:val="20"/>
              </w:rPr>
              <w:t>Wellness</w:t>
            </w:r>
            <w:proofErr w:type="spellEnd"/>
            <w:r w:rsidR="00E55421" w:rsidRPr="002A7BE8">
              <w:rPr>
                <w:sz w:val="20"/>
                <w:szCs w:val="20"/>
              </w:rPr>
              <w:t xml:space="preserve"> INC»</w:t>
            </w:r>
            <w:r w:rsidR="00E55421">
              <w:rPr>
                <w:sz w:val="20"/>
                <w:szCs w:val="20"/>
              </w:rPr>
              <w:t xml:space="preserve"> отклонить</w:t>
            </w:r>
            <w:r w:rsidR="00E55421">
              <w:rPr>
                <w:sz w:val="20"/>
                <w:szCs w:val="20"/>
                <w:lang w:val="kk-KZ"/>
              </w:rPr>
              <w:t>.</w:t>
            </w:r>
          </w:p>
          <w:p w:rsidR="008F6671" w:rsidRPr="004732B8" w:rsidRDefault="00E55421" w:rsidP="00E55421">
            <w:pPr>
              <w:jc w:val="both"/>
              <w:rPr>
                <w:sz w:val="20"/>
                <w:szCs w:val="20"/>
                <w:lang w:val="kk-KZ"/>
              </w:rPr>
            </w:pPr>
            <w:r w:rsidRPr="004732B8">
              <w:rPr>
                <w:sz w:val="20"/>
                <w:szCs w:val="20"/>
              </w:rPr>
              <w:t xml:space="preserve">В соответствии пункта 140, главы 10 лоты №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kk-KZ"/>
              </w:rPr>
              <w:t>, 2, 3, 4, 5, 6, 7, 8, 9, 11, 14, 15, 16, 17</w:t>
            </w:r>
            <w:r w:rsidRPr="004732B8">
              <w:rPr>
                <w:sz w:val="20"/>
                <w:szCs w:val="20"/>
              </w:rPr>
              <w:t xml:space="preserve">  признать не состоявшимися ввиду отсутствия представленных ценовых предложений.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87FA5"/>
    <w:rsid w:val="001D13D3"/>
    <w:rsid w:val="00334258"/>
    <w:rsid w:val="00355A59"/>
    <w:rsid w:val="00407A60"/>
    <w:rsid w:val="004732B8"/>
    <w:rsid w:val="005D1FE4"/>
    <w:rsid w:val="00626752"/>
    <w:rsid w:val="006E24C4"/>
    <w:rsid w:val="00731A72"/>
    <w:rsid w:val="007D1A25"/>
    <w:rsid w:val="008B6DD1"/>
    <w:rsid w:val="008F6671"/>
    <w:rsid w:val="009B5DEA"/>
    <w:rsid w:val="00C339EF"/>
    <w:rsid w:val="00C51A68"/>
    <w:rsid w:val="00D9039E"/>
    <w:rsid w:val="00DB16F1"/>
    <w:rsid w:val="00DC4258"/>
    <w:rsid w:val="00E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E5542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E5542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10</cp:revision>
  <cp:lastPrinted>2023-02-10T10:35:00Z</cp:lastPrinted>
  <dcterms:created xsi:type="dcterms:W3CDTF">2023-01-16T10:19:00Z</dcterms:created>
  <dcterms:modified xsi:type="dcterms:W3CDTF">2023-02-10T10:36:00Z</dcterms:modified>
</cp:coreProperties>
</file>