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474759" w:rsidTr="007A01F1">
        <w:tc>
          <w:tcPr>
            <w:tcW w:w="4927" w:type="dxa"/>
          </w:tcPr>
          <w:p w:rsidR="007A01F1" w:rsidRPr="0047475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75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7475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47475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759">
              <w:rPr>
                <w:rFonts w:ascii="Times New Roman" w:hAnsi="Times New Roman"/>
                <w:sz w:val="20"/>
                <w:szCs w:val="20"/>
              </w:rPr>
              <w:t xml:space="preserve">Алматы қ               </w:t>
            </w:r>
            <w:r w:rsidR="00BB65E1" w:rsidRPr="00474759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74759">
              <w:rPr>
                <w:rFonts w:ascii="Times New Roman" w:hAnsi="Times New Roman"/>
                <w:sz w:val="20"/>
                <w:szCs w:val="20"/>
              </w:rPr>
              <w:t xml:space="preserve">        «</w:t>
            </w:r>
            <w:r w:rsidR="00D92090" w:rsidRPr="00474759">
              <w:rPr>
                <w:rFonts w:ascii="Times New Roman" w:hAnsi="Times New Roman"/>
                <w:sz w:val="20"/>
                <w:szCs w:val="20"/>
              </w:rPr>
              <w:t>20</w:t>
            </w:r>
            <w:r w:rsidRPr="0047475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BB65E1" w:rsidRPr="00474759">
              <w:rPr>
                <w:rFonts w:ascii="Times New Roman" w:hAnsi="Times New Roman"/>
                <w:sz w:val="20"/>
                <w:szCs w:val="20"/>
              </w:rPr>
              <w:t>ақпан</w:t>
            </w:r>
            <w:proofErr w:type="spellEnd"/>
            <w:r w:rsidR="00A33AE9" w:rsidRPr="00474759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474759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47475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474759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4759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 w:rsidR="005F1882" w:rsidRPr="0047475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тергеу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изоляторлары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қылмысты</w:t>
            </w:r>
            <w:proofErr w:type="gram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қ-</w:t>
            </w:r>
            <w:proofErr w:type="gram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>атқару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пенитенциарлық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жүйесінің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мекемелерінде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ұсталатын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адамдар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үшін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қаражаты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есебінен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қосымша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кейбір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шешімдерінің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күші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жойылды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деп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тану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>»</w:t>
            </w:r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сәйкес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ә</w:t>
            </w:r>
            <w:proofErr w:type="gramStart"/>
            <w:r w:rsidR="005F1882" w:rsidRPr="0047475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5F1882" w:rsidRPr="00474759">
              <w:rPr>
                <w:rFonts w:ascii="Times New Roman" w:hAnsi="Times New Roman"/>
                <w:sz w:val="20"/>
                <w:szCs w:val="20"/>
              </w:rPr>
              <w:t>і-Қ</w:t>
            </w:r>
            <w:r w:rsidRPr="00474759">
              <w:rPr>
                <w:rFonts w:ascii="Times New Roman" w:hAnsi="Times New Roman"/>
                <w:sz w:val="20"/>
                <w:szCs w:val="20"/>
              </w:rPr>
              <w:t>ағида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>.</w:t>
            </w:r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01F1" w:rsidRPr="00474759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>) – АҚ</w:t>
            </w:r>
            <w:r w:rsidR="005F1882"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475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474759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474759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47475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47475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474759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474759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47475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47475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47475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474759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47475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D92090" w:rsidRPr="00474759">
              <w:rPr>
                <w:rFonts w:cs="Times New Roman"/>
                <w:sz w:val="20"/>
                <w:szCs w:val="20"/>
              </w:rPr>
              <w:t>20</w:t>
            </w:r>
            <w:r w:rsidRPr="00474759">
              <w:rPr>
                <w:rFonts w:cs="Times New Roman"/>
                <w:sz w:val="20"/>
                <w:szCs w:val="20"/>
              </w:rPr>
              <w:t xml:space="preserve">» </w:t>
            </w:r>
            <w:r w:rsidR="00BB65E1" w:rsidRPr="00474759">
              <w:rPr>
                <w:rFonts w:cs="Times New Roman"/>
                <w:sz w:val="20"/>
                <w:szCs w:val="20"/>
              </w:rPr>
              <w:t>февраля</w:t>
            </w:r>
            <w:r w:rsidRPr="00474759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474759">
              <w:rPr>
                <w:rFonts w:cs="Times New Roman"/>
                <w:sz w:val="20"/>
                <w:szCs w:val="20"/>
              </w:rPr>
              <w:t>3</w:t>
            </w:r>
            <w:r w:rsidRPr="00474759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474759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474759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474759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474759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474759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474759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474759">
              <w:rPr>
                <w:rStyle w:val="s1"/>
                <w:sz w:val="20"/>
                <w:szCs w:val="20"/>
              </w:rPr>
              <w:t>«</w:t>
            </w:r>
            <w:r w:rsidR="005F1882" w:rsidRPr="00474759">
              <w:rPr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</w:t>
            </w:r>
            <w:bookmarkStart w:id="0" w:name="_GoBack"/>
            <w:bookmarkEnd w:id="0"/>
            <w:r w:rsidR="005F1882" w:rsidRPr="00474759">
              <w:rPr>
                <w:color w:val="000000"/>
                <w:sz w:val="20"/>
                <w:szCs w:val="20"/>
              </w:rPr>
              <w:t>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</w:t>
            </w:r>
            <w:proofErr w:type="gramEnd"/>
            <w:r w:rsidR="005F1882" w:rsidRPr="00474759">
              <w:rPr>
                <w:color w:val="000000"/>
                <w:sz w:val="20"/>
                <w:szCs w:val="20"/>
              </w:rPr>
              <w:t xml:space="preserve">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Pr="00474759">
              <w:rPr>
                <w:rStyle w:val="s1"/>
                <w:sz w:val="20"/>
                <w:szCs w:val="20"/>
              </w:rPr>
              <w:t>»</w:t>
            </w:r>
            <w:r w:rsidRPr="00474759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 запроса ценовых предложений. 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47475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474759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474759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474759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47475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474759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12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309"/>
        <w:gridCol w:w="3119"/>
        <w:gridCol w:w="992"/>
        <w:gridCol w:w="1276"/>
        <w:gridCol w:w="1447"/>
        <w:gridCol w:w="1418"/>
      </w:tblGrid>
      <w:tr w:rsidR="00BB65E1" w:rsidRPr="00474759" w:rsidTr="0047475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BB65E1" w:rsidRPr="00474759" w:rsidRDefault="00BB65E1" w:rsidP="00474759">
            <w:pPr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BB65E1" w:rsidRPr="00474759" w:rsidRDefault="00BB65E1" w:rsidP="00474759">
            <w:pPr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2309" w:type="dxa"/>
            <w:shd w:val="clear" w:color="000000" w:fill="FFFFFF"/>
            <w:vAlign w:val="center"/>
            <w:hideMark/>
          </w:tcPr>
          <w:p w:rsidR="00BB65E1" w:rsidRPr="00474759" w:rsidRDefault="00BB65E1" w:rsidP="0047475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474759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BB65E1" w:rsidRPr="00474759" w:rsidRDefault="005F1882" w:rsidP="0047475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Техникалық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ерекшелігі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/ </w:t>
            </w:r>
            <w:r w:rsidR="00BB65E1" w:rsidRPr="00474759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B65E1" w:rsidRPr="00474759" w:rsidRDefault="00BB65E1" w:rsidP="0047475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474759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474759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B65E1" w:rsidRPr="00474759" w:rsidRDefault="00BB65E1" w:rsidP="00474759">
            <w:pPr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BB65E1" w:rsidRPr="00474759" w:rsidRDefault="00BB65E1" w:rsidP="00474759">
            <w:pPr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474759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B65E1" w:rsidRPr="00474759" w:rsidRDefault="00BB65E1" w:rsidP="0047475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474759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474759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474759" w:rsidRPr="00474759" w:rsidTr="0047475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Style w:val="af2"/>
                <w:i w:val="0"/>
                <w:sz w:val="20"/>
                <w:szCs w:val="20"/>
              </w:rPr>
            </w:pPr>
            <w:r w:rsidRPr="00474759">
              <w:rPr>
                <w:rStyle w:val="af2"/>
                <w:i w:val="0"/>
                <w:color w:val="auto"/>
                <w:sz w:val="20"/>
                <w:szCs w:val="20"/>
              </w:rPr>
              <w:t xml:space="preserve">Бинт </w:t>
            </w:r>
            <w:r w:rsidRPr="00474759">
              <w:rPr>
                <w:rStyle w:val="af2"/>
                <w:i w:val="0"/>
                <w:color w:val="auto"/>
                <w:sz w:val="20"/>
                <w:szCs w:val="20"/>
              </w:rPr>
              <w:t>нестерильный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Style w:val="af2"/>
                <w:i w:val="0"/>
                <w:color w:val="auto"/>
                <w:sz w:val="20"/>
                <w:szCs w:val="20"/>
              </w:rPr>
              <w:t>марлевый медицинский</w:t>
            </w:r>
            <w:r w:rsidRPr="00474759">
              <w:rPr>
                <w:rStyle w:val="af2"/>
                <w:i w:val="0"/>
                <w:color w:val="auto"/>
                <w:sz w:val="20"/>
                <w:szCs w:val="20"/>
              </w:rPr>
              <w:t>,</w:t>
            </w:r>
            <w:r w:rsidRPr="00474759">
              <w:rPr>
                <w:rStyle w:val="af2"/>
                <w:i w:val="0"/>
                <w:color w:val="auto"/>
                <w:sz w:val="20"/>
                <w:szCs w:val="20"/>
              </w:rPr>
              <w:t xml:space="preserve"> р</w:t>
            </w:r>
            <w:r w:rsidRPr="00474759">
              <w:rPr>
                <w:rFonts w:cs="Times New Roman"/>
                <w:sz w:val="20"/>
                <w:szCs w:val="20"/>
              </w:rPr>
              <w:t>азмером 7м х 14 см</w:t>
            </w:r>
            <w:r w:rsidRPr="00474759">
              <w:rPr>
                <w:rStyle w:val="af2"/>
                <w:i w:val="0"/>
                <w:color w:val="auto"/>
                <w:sz w:val="20"/>
                <w:szCs w:val="20"/>
              </w:rPr>
              <w:t>.</w:t>
            </w:r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Дана / штука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9 000,00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100,00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900 000,00</w:t>
            </w:r>
          </w:p>
        </w:tc>
      </w:tr>
      <w:tr w:rsidR="00474759" w:rsidRPr="00474759" w:rsidTr="0047475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Вата </w:t>
            </w:r>
            <w:r w:rsidRPr="00474759">
              <w:rPr>
                <w:rFonts w:cs="Times New Roman"/>
                <w:sz w:val="20"/>
                <w:szCs w:val="20"/>
              </w:rPr>
              <w:t>нестерильная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медицинская, отбеленная, гигроскопичная, 100 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х/б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, фасовка 100,0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гр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/ упаковка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700,00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260,00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182 000,00</w:t>
            </w:r>
          </w:p>
        </w:tc>
      </w:tr>
      <w:tr w:rsidR="00474759" w:rsidRPr="00474759" w:rsidTr="0047475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Дана / штука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35 000,00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15,84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554 400,00</w:t>
            </w:r>
          </w:p>
        </w:tc>
      </w:tr>
      <w:tr w:rsidR="00474759" w:rsidRPr="00474759" w:rsidTr="0047475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Шприц  инъекционный трехкомпонентный стерильный однократного применения объемами: 5мл с иглами 22Gx11/2"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Дана / штука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165 000,00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15,75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2 598 750,00</w:t>
            </w:r>
          </w:p>
        </w:tc>
      </w:tr>
      <w:tr w:rsidR="00474759" w:rsidRPr="00474759" w:rsidTr="0047475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Шприц инъекционный трехкомпонентный стерильный однократного применения объемами: </w:t>
            </w:r>
            <w:r w:rsidRPr="00474759">
              <w:rPr>
                <w:rFonts w:cs="Times New Roman"/>
                <w:sz w:val="20"/>
                <w:szCs w:val="20"/>
              </w:rPr>
              <w:lastRenderedPageBreak/>
              <w:t>10мл с иглами 21Gx11/2"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lastRenderedPageBreak/>
              <w:t xml:space="preserve">Шприц изготовлен из высококачественного пластика и состоит из поршня, уплотнительного резинового кольца и цилиндра с </w:t>
            </w:r>
            <w:r w:rsidRPr="00474759">
              <w:rPr>
                <w:rFonts w:cs="Times New Roman"/>
                <w:sz w:val="20"/>
                <w:szCs w:val="20"/>
              </w:rPr>
              <w:lastRenderedPageBreak/>
              <w:t>градуировкой. Игла с трехгранной заточкой покрыта тонким слоем силикона.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lastRenderedPageBreak/>
              <w:t xml:space="preserve">Дана / штука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142 000,00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24,71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3 508 820,00</w:t>
            </w:r>
          </w:p>
        </w:tc>
      </w:tr>
      <w:tr w:rsidR="00474759" w:rsidRPr="00474759" w:rsidTr="0047475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0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spacing w:after="240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"Шприц инъекционный трехкомпонентный стерильный однократного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применения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t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объемами: 20 мл с иглами 20Gx 11/2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Шприц изготовлен из высококачественного пластика и состоит из поршня, уплотнительного резинового кольца, цилиндра с градуировкой. Игла с трехгранной заточкой покрыта тонким слоем силикона. Стерилизован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этиленоксидом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 Срок годности: 3 года.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Дана / штука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48 000,00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31,47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74759" w:rsidRPr="00474759" w:rsidRDefault="00474759" w:rsidP="00474759">
            <w:pPr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1 510 560,00</w:t>
            </w:r>
          </w:p>
        </w:tc>
      </w:tr>
    </w:tbl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7A01F1" w:rsidRPr="00474759" w:rsidTr="00CB0271">
        <w:tc>
          <w:tcPr>
            <w:tcW w:w="4927" w:type="dxa"/>
          </w:tcPr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r w:rsidR="00474759" w:rsidRPr="00474759">
              <w:rPr>
                <w:sz w:val="20"/>
                <w:szCs w:val="20"/>
              </w:rPr>
              <w:t>9 254 530,00 (</w:t>
            </w:r>
            <w:proofErr w:type="spellStart"/>
            <w:r w:rsidR="00474759" w:rsidRPr="00474759">
              <w:rPr>
                <w:sz w:val="20"/>
                <w:szCs w:val="20"/>
              </w:rPr>
              <w:t>тоғыз</w:t>
            </w:r>
            <w:proofErr w:type="spellEnd"/>
            <w:r w:rsidR="00474759" w:rsidRPr="00474759">
              <w:rPr>
                <w:sz w:val="20"/>
                <w:szCs w:val="20"/>
              </w:rPr>
              <w:t xml:space="preserve"> миллион </w:t>
            </w:r>
            <w:proofErr w:type="spellStart"/>
            <w:r w:rsidR="00474759" w:rsidRPr="00474759">
              <w:rPr>
                <w:sz w:val="20"/>
                <w:szCs w:val="20"/>
              </w:rPr>
              <w:t>екі</w:t>
            </w:r>
            <w:proofErr w:type="spellEnd"/>
            <w:r w:rsidR="00474759" w:rsidRPr="00474759">
              <w:rPr>
                <w:sz w:val="20"/>
                <w:szCs w:val="20"/>
              </w:rPr>
              <w:t xml:space="preserve"> </w:t>
            </w:r>
            <w:proofErr w:type="spellStart"/>
            <w:r w:rsidR="00474759" w:rsidRPr="00474759">
              <w:rPr>
                <w:sz w:val="20"/>
                <w:szCs w:val="20"/>
              </w:rPr>
              <w:t>жү</w:t>
            </w:r>
            <w:proofErr w:type="gramStart"/>
            <w:r w:rsidR="00474759" w:rsidRPr="00474759">
              <w:rPr>
                <w:sz w:val="20"/>
                <w:szCs w:val="20"/>
              </w:rPr>
              <w:t>з</w:t>
            </w:r>
            <w:proofErr w:type="spellEnd"/>
            <w:r w:rsidR="00474759" w:rsidRPr="00474759">
              <w:rPr>
                <w:sz w:val="20"/>
                <w:szCs w:val="20"/>
              </w:rPr>
              <w:t xml:space="preserve"> </w:t>
            </w:r>
            <w:proofErr w:type="spellStart"/>
            <w:r w:rsidR="00474759" w:rsidRPr="00474759">
              <w:rPr>
                <w:sz w:val="20"/>
                <w:szCs w:val="20"/>
              </w:rPr>
              <w:t>елу</w:t>
            </w:r>
            <w:proofErr w:type="spellEnd"/>
            <w:proofErr w:type="gramEnd"/>
            <w:r w:rsidR="00474759" w:rsidRPr="00474759">
              <w:rPr>
                <w:sz w:val="20"/>
                <w:szCs w:val="20"/>
              </w:rPr>
              <w:t xml:space="preserve"> </w:t>
            </w:r>
            <w:proofErr w:type="spellStart"/>
            <w:r w:rsidR="00474759" w:rsidRPr="00474759">
              <w:rPr>
                <w:sz w:val="20"/>
                <w:szCs w:val="20"/>
              </w:rPr>
              <w:t>төрт</w:t>
            </w:r>
            <w:proofErr w:type="spellEnd"/>
            <w:r w:rsidR="00474759" w:rsidRPr="00474759">
              <w:rPr>
                <w:sz w:val="20"/>
                <w:szCs w:val="20"/>
              </w:rPr>
              <w:t xml:space="preserve"> </w:t>
            </w:r>
            <w:proofErr w:type="spellStart"/>
            <w:r w:rsidR="00474759" w:rsidRPr="00474759">
              <w:rPr>
                <w:sz w:val="20"/>
                <w:szCs w:val="20"/>
              </w:rPr>
              <w:t>мың</w:t>
            </w:r>
            <w:proofErr w:type="spellEnd"/>
            <w:r w:rsidR="00474759" w:rsidRPr="00474759">
              <w:rPr>
                <w:sz w:val="20"/>
                <w:szCs w:val="20"/>
              </w:rPr>
              <w:t xml:space="preserve"> бес </w:t>
            </w:r>
            <w:proofErr w:type="spellStart"/>
            <w:r w:rsidR="00474759" w:rsidRPr="00474759">
              <w:rPr>
                <w:sz w:val="20"/>
                <w:szCs w:val="20"/>
              </w:rPr>
              <w:t>жүз</w:t>
            </w:r>
            <w:proofErr w:type="spellEnd"/>
            <w:r w:rsidR="00474759" w:rsidRPr="00474759">
              <w:rPr>
                <w:sz w:val="20"/>
                <w:szCs w:val="20"/>
              </w:rPr>
              <w:t xml:space="preserve"> </w:t>
            </w:r>
            <w:proofErr w:type="spellStart"/>
            <w:r w:rsidR="00474759" w:rsidRPr="00474759">
              <w:rPr>
                <w:sz w:val="20"/>
                <w:szCs w:val="20"/>
              </w:rPr>
              <w:t>отыз</w:t>
            </w:r>
            <w:proofErr w:type="spellEnd"/>
            <w:r w:rsidR="00474759" w:rsidRPr="00474759">
              <w:rPr>
                <w:sz w:val="20"/>
                <w:szCs w:val="20"/>
              </w:rPr>
              <w:t>)</w:t>
            </w:r>
            <w:r w:rsidR="005F1882" w:rsidRPr="00474759">
              <w:rPr>
                <w:sz w:val="20"/>
                <w:szCs w:val="20"/>
              </w:rPr>
              <w:t xml:space="preserve"> </w:t>
            </w:r>
            <w:proofErr w:type="spellStart"/>
            <w:r w:rsidR="005F1882" w:rsidRPr="00474759">
              <w:rPr>
                <w:sz w:val="20"/>
                <w:szCs w:val="20"/>
              </w:rPr>
              <w:t>теңге</w:t>
            </w:r>
            <w:proofErr w:type="spellEnd"/>
            <w:r w:rsidR="00474759">
              <w:rPr>
                <w:sz w:val="20"/>
                <w:szCs w:val="20"/>
                <w:lang w:val="kk-KZ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Тауарды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жеткізу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>:</w:t>
            </w:r>
            <w:r w:rsidRPr="00474759">
              <w:rPr>
                <w:rFonts w:cs="Times New Roman"/>
                <w:sz w:val="20"/>
                <w:szCs w:val="20"/>
              </w:rPr>
              <w:t xml:space="preserve"> АҚ «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475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7475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ұсынудың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орны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соңғы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мерзімі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>:</w:t>
            </w:r>
            <w:r w:rsidRPr="00474759">
              <w:rPr>
                <w:rFonts w:cs="Times New Roman"/>
                <w:sz w:val="20"/>
                <w:szCs w:val="20"/>
              </w:rPr>
              <w:t xml:space="preserve"> Алматы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r w:rsidR="003C20FD" w:rsidRPr="00474759">
              <w:rPr>
                <w:rFonts w:cs="Times New Roman"/>
                <w:sz w:val="20"/>
                <w:szCs w:val="20"/>
              </w:rPr>
              <w:t>28</w:t>
            </w:r>
            <w:r w:rsidRPr="00474759">
              <w:rPr>
                <w:rFonts w:cs="Times New Roman"/>
                <w:sz w:val="20"/>
                <w:szCs w:val="20"/>
              </w:rPr>
              <w:t>.</w:t>
            </w:r>
            <w:r w:rsidR="0078134E" w:rsidRPr="00474759">
              <w:rPr>
                <w:rFonts w:cs="Times New Roman"/>
                <w:sz w:val="20"/>
                <w:szCs w:val="20"/>
              </w:rPr>
              <w:t>02</w:t>
            </w:r>
            <w:r w:rsidRPr="00474759">
              <w:rPr>
                <w:rFonts w:cs="Times New Roman"/>
                <w:sz w:val="20"/>
                <w:szCs w:val="20"/>
              </w:rPr>
              <w:t>.202</w:t>
            </w:r>
            <w:r w:rsidR="00A33AE9" w:rsidRPr="00474759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47475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474759">
              <w:rPr>
                <w:rFonts w:cs="Times New Roman"/>
                <w:sz w:val="20"/>
                <w:szCs w:val="20"/>
              </w:rPr>
              <w:t>: 09:</w:t>
            </w:r>
            <w:r w:rsidRPr="00474759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74759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474759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>:</w:t>
            </w:r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r w:rsidR="003C20FD" w:rsidRPr="00474759">
              <w:rPr>
                <w:rFonts w:cs="Times New Roman"/>
                <w:sz w:val="20"/>
                <w:szCs w:val="20"/>
              </w:rPr>
              <w:t>28</w:t>
            </w:r>
            <w:r w:rsidRPr="00474759">
              <w:rPr>
                <w:rFonts w:cs="Times New Roman"/>
                <w:sz w:val="20"/>
                <w:szCs w:val="20"/>
              </w:rPr>
              <w:t>.</w:t>
            </w:r>
            <w:r w:rsidR="0078134E" w:rsidRPr="00474759">
              <w:rPr>
                <w:rFonts w:cs="Times New Roman"/>
                <w:sz w:val="20"/>
                <w:szCs w:val="20"/>
              </w:rPr>
              <w:t>02</w:t>
            </w:r>
            <w:r w:rsidRPr="00474759">
              <w:rPr>
                <w:rFonts w:cs="Times New Roman"/>
                <w:sz w:val="20"/>
                <w:szCs w:val="20"/>
              </w:rPr>
              <w:t>.202</w:t>
            </w:r>
            <w:r w:rsidR="00A33AE9" w:rsidRPr="00474759">
              <w:rPr>
                <w:rFonts w:cs="Times New Roman"/>
                <w:sz w:val="20"/>
                <w:szCs w:val="20"/>
              </w:rPr>
              <w:t>3</w:t>
            </w:r>
            <w:r w:rsidRPr="00474759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r w:rsidR="000F100B" w:rsidRPr="00474759">
              <w:rPr>
                <w:rFonts w:cs="Times New Roman"/>
                <w:sz w:val="20"/>
                <w:szCs w:val="20"/>
              </w:rPr>
              <w:t>10</w:t>
            </w:r>
            <w:r w:rsidRPr="00474759">
              <w:rPr>
                <w:rFonts w:cs="Times New Roman"/>
                <w:sz w:val="20"/>
                <w:szCs w:val="20"/>
              </w:rPr>
              <w:t>:</w:t>
            </w:r>
            <w:r w:rsidR="00474759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759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="00CB0271" w:rsidRPr="00474759">
              <w:rPr>
                <w:rFonts w:cs="Times New Roman"/>
                <w:sz w:val="20"/>
                <w:szCs w:val="20"/>
              </w:rPr>
              <w:t>Е</w:t>
            </w:r>
            <w:r w:rsidRPr="00474759">
              <w:rPr>
                <w:rFonts w:cs="Times New Roman"/>
                <w:sz w:val="20"/>
                <w:szCs w:val="20"/>
              </w:rPr>
              <w:t>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lastRenderedPageBreak/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r w:rsidR="00CB0271" w:rsidRPr="00474759">
              <w:rPr>
                <w:rFonts w:cs="Times New Roman"/>
                <w:sz w:val="20"/>
                <w:szCs w:val="20"/>
              </w:rPr>
              <w:t>141</w:t>
            </w:r>
            <w:r w:rsidRPr="00474759">
              <w:rPr>
                <w:rFonts w:cs="Times New Roman"/>
                <w:sz w:val="20"/>
                <w:szCs w:val="20"/>
              </w:rPr>
              <w:t xml:space="preserve">-тармағына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759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474759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CB0271" w:rsidRPr="00474759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1)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";</w:t>
            </w:r>
          </w:p>
          <w:p w:rsidR="00CB0271" w:rsidRPr="00474759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2)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474759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3)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474759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474759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4) 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);</w:t>
            </w:r>
          </w:p>
          <w:p w:rsidR="00CB0271" w:rsidRPr="00474759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>5) "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;</w:t>
            </w:r>
          </w:p>
          <w:p w:rsidR="00CB0271" w:rsidRPr="00474759" w:rsidRDefault="00CB027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6) осы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474759" w:rsidRDefault="007A01F1" w:rsidP="00CB0271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lastRenderedPageBreak/>
              <w:t xml:space="preserve">      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474759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04" w:type="dxa"/>
          </w:tcPr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lastRenderedPageBreak/>
              <w:t>Выделенная сумма</w:t>
            </w:r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r w:rsidR="00474759" w:rsidRPr="00474759">
              <w:rPr>
                <w:sz w:val="20"/>
                <w:szCs w:val="20"/>
              </w:rPr>
              <w:t>9 254 530,00</w:t>
            </w:r>
            <w:r w:rsidR="0078134E" w:rsidRPr="00474759">
              <w:rPr>
                <w:sz w:val="20"/>
                <w:szCs w:val="20"/>
              </w:rPr>
              <w:t xml:space="preserve"> </w:t>
            </w:r>
            <w:r w:rsidRPr="00474759">
              <w:rPr>
                <w:sz w:val="20"/>
                <w:szCs w:val="20"/>
              </w:rPr>
              <w:t>(</w:t>
            </w:r>
            <w:r w:rsidR="00474759" w:rsidRPr="00474759">
              <w:rPr>
                <w:sz w:val="20"/>
                <w:szCs w:val="20"/>
              </w:rPr>
              <w:t>девять миллионов двести пятьдесят четыре тысячи пятьсот тридцать</w:t>
            </w:r>
            <w:r w:rsidRPr="00474759">
              <w:rPr>
                <w:sz w:val="20"/>
                <w:szCs w:val="20"/>
              </w:rPr>
              <w:t>) тенге</w:t>
            </w:r>
            <w:r w:rsidRPr="0047475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474759" w:rsidRDefault="003C20FD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>Срок п</w:t>
            </w:r>
            <w:r w:rsidR="007A01F1" w:rsidRPr="00474759">
              <w:rPr>
                <w:rFonts w:cs="Times New Roman"/>
                <w:b/>
                <w:sz w:val="20"/>
                <w:szCs w:val="20"/>
              </w:rPr>
              <w:t>оставк</w:t>
            </w:r>
            <w:r w:rsidRPr="00474759">
              <w:rPr>
                <w:rFonts w:cs="Times New Roman"/>
                <w:b/>
                <w:sz w:val="20"/>
                <w:szCs w:val="20"/>
              </w:rPr>
              <w:t>и</w:t>
            </w:r>
            <w:r w:rsidR="007A01F1" w:rsidRPr="00474759">
              <w:rPr>
                <w:rFonts w:cs="Times New Roman"/>
                <w:sz w:val="20"/>
                <w:szCs w:val="20"/>
              </w:rPr>
              <w:t xml:space="preserve"> товара производиться частями в течение 5 - и календарных дней текущего года по заявке Заказчика. 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>Место поставки</w:t>
            </w:r>
            <w:r w:rsidRPr="00474759">
              <w:rPr>
                <w:rFonts w:cs="Times New Roman"/>
                <w:sz w:val="20"/>
                <w:szCs w:val="20"/>
              </w:rPr>
              <w:t xml:space="preserve"> товара: АО «Национальный научный центр хирургии им. А.Н.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>Место и окончательный срок предоставления ценовых предложений:</w:t>
            </w:r>
            <w:r w:rsidRPr="00474759">
              <w:rPr>
                <w:rFonts w:cs="Times New Roman"/>
                <w:sz w:val="20"/>
                <w:szCs w:val="20"/>
              </w:rPr>
              <w:t xml:space="preserve"> г. Алматы,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3C20FD" w:rsidRPr="00474759">
              <w:rPr>
                <w:rFonts w:cs="Times New Roman"/>
                <w:sz w:val="20"/>
                <w:szCs w:val="20"/>
              </w:rPr>
              <w:t>28</w:t>
            </w:r>
            <w:r w:rsidRPr="00474759">
              <w:rPr>
                <w:rFonts w:cs="Times New Roman"/>
                <w:sz w:val="20"/>
                <w:szCs w:val="20"/>
              </w:rPr>
              <w:t>.</w:t>
            </w:r>
            <w:r w:rsidR="0078134E" w:rsidRPr="00474759">
              <w:rPr>
                <w:rFonts w:cs="Times New Roman"/>
                <w:sz w:val="20"/>
                <w:szCs w:val="20"/>
              </w:rPr>
              <w:t>02</w:t>
            </w:r>
            <w:r w:rsidRPr="00474759">
              <w:rPr>
                <w:rFonts w:cs="Times New Roman"/>
                <w:sz w:val="20"/>
                <w:szCs w:val="20"/>
              </w:rPr>
              <w:t>.202</w:t>
            </w:r>
            <w:r w:rsidR="00A33AE9" w:rsidRPr="00474759">
              <w:rPr>
                <w:rFonts w:cs="Times New Roman"/>
                <w:sz w:val="20"/>
                <w:szCs w:val="20"/>
              </w:rPr>
              <w:t>3</w:t>
            </w:r>
            <w:r w:rsidRPr="00474759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>Дата и время вскрытия ценовых предложений</w:t>
            </w:r>
            <w:r w:rsidRPr="00474759">
              <w:rPr>
                <w:rFonts w:cs="Times New Roman"/>
                <w:sz w:val="20"/>
                <w:szCs w:val="20"/>
              </w:rPr>
              <w:t xml:space="preserve">: дата </w:t>
            </w:r>
            <w:r w:rsidR="003C20FD" w:rsidRPr="00474759">
              <w:rPr>
                <w:rFonts w:cs="Times New Roman"/>
                <w:sz w:val="20"/>
                <w:szCs w:val="20"/>
              </w:rPr>
              <w:t>28</w:t>
            </w:r>
            <w:r w:rsidRPr="00474759">
              <w:rPr>
                <w:rFonts w:cs="Times New Roman"/>
                <w:sz w:val="20"/>
                <w:szCs w:val="20"/>
              </w:rPr>
              <w:t>.</w:t>
            </w:r>
            <w:r w:rsidR="0078134E" w:rsidRPr="00474759">
              <w:rPr>
                <w:rFonts w:cs="Times New Roman"/>
                <w:sz w:val="20"/>
                <w:szCs w:val="20"/>
              </w:rPr>
              <w:t>02</w:t>
            </w:r>
            <w:r w:rsidRPr="00474759">
              <w:rPr>
                <w:rFonts w:cs="Times New Roman"/>
                <w:sz w:val="20"/>
                <w:szCs w:val="20"/>
              </w:rPr>
              <w:t>.202</w:t>
            </w:r>
            <w:r w:rsidR="00A33AE9" w:rsidRPr="00474759">
              <w:rPr>
                <w:rFonts w:cs="Times New Roman"/>
                <w:sz w:val="20"/>
                <w:szCs w:val="20"/>
              </w:rPr>
              <w:t>3</w:t>
            </w:r>
            <w:r w:rsidRPr="00474759">
              <w:rPr>
                <w:rFonts w:cs="Times New Roman"/>
                <w:sz w:val="20"/>
                <w:szCs w:val="20"/>
              </w:rPr>
              <w:t xml:space="preserve"> г. время </w:t>
            </w:r>
            <w:r w:rsidR="000F100B" w:rsidRPr="00474759">
              <w:rPr>
                <w:rFonts w:cs="Times New Roman"/>
                <w:sz w:val="20"/>
                <w:szCs w:val="20"/>
              </w:rPr>
              <w:t>10</w:t>
            </w:r>
            <w:r w:rsidRPr="00474759">
              <w:rPr>
                <w:rFonts w:cs="Times New Roman"/>
                <w:sz w:val="20"/>
                <w:szCs w:val="20"/>
              </w:rPr>
              <w:t>:</w:t>
            </w:r>
            <w:r w:rsidR="00474759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474759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474759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474759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47475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47475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474759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474759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474759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474759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474759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47475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474759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47475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474759">
              <w:rPr>
                <w:rFonts w:cs="Times New Roman"/>
                <w:color w:val="000000"/>
                <w:sz w:val="20"/>
                <w:szCs w:val="20"/>
              </w:rPr>
              <w:t xml:space="preserve">Победителем признается потенциальный </w:t>
            </w:r>
            <w:r w:rsidRPr="00474759">
              <w:rPr>
                <w:rFonts w:cs="Times New Roman"/>
                <w:color w:val="000000"/>
                <w:sz w:val="20"/>
                <w:szCs w:val="20"/>
              </w:rPr>
              <w:lastRenderedPageBreak/>
              <w:t>поставщик, предложивший наименьшее ценовое предложение.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474759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47475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474759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</w:t>
            </w:r>
            <w:r w:rsidR="00CB0271" w:rsidRPr="00474759">
              <w:rPr>
                <w:rFonts w:cs="Times New Roman"/>
                <w:color w:val="000000"/>
                <w:sz w:val="20"/>
                <w:szCs w:val="20"/>
              </w:rPr>
              <w:t xml:space="preserve">141 </w:t>
            </w:r>
            <w:r w:rsidRPr="00474759">
              <w:rPr>
                <w:rFonts w:cs="Times New Roman"/>
                <w:color w:val="000000"/>
                <w:sz w:val="20"/>
                <w:szCs w:val="20"/>
              </w:rPr>
              <w:t>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474759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74759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CB0271" w:rsidRPr="00474759" w:rsidRDefault="00CB0271" w:rsidP="00CB0271">
            <w:pPr>
              <w:jc w:val="both"/>
              <w:rPr>
                <w:sz w:val="20"/>
                <w:szCs w:val="20"/>
              </w:rPr>
            </w:pPr>
            <w:bookmarkStart w:id="6" w:name="z400"/>
            <w:r w:rsidRPr="00474759">
              <w:rPr>
                <w:color w:val="000000"/>
                <w:sz w:val="20"/>
                <w:szCs w:val="20"/>
              </w:rPr>
              <w:t xml:space="preserve">      </w:t>
            </w:r>
            <w:proofErr w:type="gramStart"/>
            <w:r w:rsidRPr="00474759">
              <w:rPr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474759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474759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47475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74759">
              <w:rPr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      </w:r>
            <w:proofErr w:type="spellStart"/>
            <w:r w:rsidRPr="00474759">
              <w:rPr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474759">
              <w:rPr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CB0271" w:rsidRPr="00474759" w:rsidRDefault="00CB0271" w:rsidP="00CB0271">
            <w:pPr>
              <w:jc w:val="both"/>
              <w:rPr>
                <w:sz w:val="20"/>
                <w:szCs w:val="20"/>
              </w:rPr>
            </w:pPr>
            <w:bookmarkStart w:id="7" w:name="z401"/>
            <w:bookmarkEnd w:id="6"/>
            <w:r w:rsidRPr="00474759">
              <w:rPr>
                <w:color w:val="000000"/>
                <w:sz w:val="20"/>
                <w:szCs w:val="20"/>
              </w:rPr>
      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CB0271" w:rsidRPr="00474759" w:rsidRDefault="00CB0271" w:rsidP="00CB0271">
            <w:pPr>
              <w:jc w:val="both"/>
              <w:rPr>
                <w:sz w:val="20"/>
                <w:szCs w:val="20"/>
              </w:rPr>
            </w:pPr>
            <w:bookmarkStart w:id="8" w:name="z402"/>
            <w:bookmarkEnd w:id="7"/>
            <w:r w:rsidRPr="00474759">
              <w:rPr>
                <w:color w:val="000000"/>
                <w:sz w:val="20"/>
                <w:szCs w:val="20"/>
              </w:rPr>
      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CB0271" w:rsidRPr="00474759" w:rsidRDefault="00CB0271" w:rsidP="00CB0271">
            <w:pPr>
              <w:jc w:val="both"/>
              <w:rPr>
                <w:sz w:val="20"/>
                <w:szCs w:val="20"/>
              </w:rPr>
            </w:pPr>
            <w:bookmarkStart w:id="9" w:name="z403"/>
            <w:bookmarkEnd w:id="8"/>
            <w:r w:rsidRPr="00474759">
              <w:rPr>
                <w:color w:val="000000"/>
                <w:sz w:val="20"/>
                <w:szCs w:val="20"/>
              </w:rPr>
      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CB0271" w:rsidRPr="00474759" w:rsidRDefault="00CB0271" w:rsidP="00CB0271">
            <w:pPr>
              <w:jc w:val="both"/>
              <w:rPr>
                <w:sz w:val="20"/>
                <w:szCs w:val="20"/>
              </w:rPr>
            </w:pPr>
            <w:bookmarkStart w:id="10" w:name="z404"/>
            <w:bookmarkEnd w:id="9"/>
            <w:r w:rsidRPr="00474759">
              <w:rPr>
                <w:color w:val="000000"/>
                <w:sz w:val="20"/>
                <w:szCs w:val="20"/>
              </w:rPr>
      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CB0271" w:rsidRPr="00474759" w:rsidRDefault="00CB0271" w:rsidP="00CB0271">
            <w:pPr>
              <w:jc w:val="both"/>
              <w:rPr>
                <w:sz w:val="20"/>
                <w:szCs w:val="20"/>
              </w:rPr>
            </w:pPr>
            <w:bookmarkStart w:id="11" w:name="z405"/>
            <w:bookmarkEnd w:id="10"/>
            <w:r w:rsidRPr="00474759">
              <w:rPr>
                <w:color w:val="000000"/>
                <w:sz w:val="20"/>
                <w:szCs w:val="20"/>
              </w:rPr>
      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47475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4"/>
            <w:bookmarkStart w:id="13" w:name="z388"/>
            <w:bookmarkEnd w:id="11"/>
            <w:r w:rsidRPr="00474759">
              <w:rPr>
                <w:rFonts w:cs="Times New Roman"/>
                <w:color w:val="000000"/>
                <w:sz w:val="20"/>
                <w:szCs w:val="20"/>
              </w:rPr>
              <w:lastRenderedPageBreak/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2"/>
          <w:p w:rsidR="007A01F1" w:rsidRPr="00474759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474759">
              <w:rPr>
                <w:rFonts w:cs="Times New Roman"/>
                <w:color w:val="000000"/>
                <w:sz w:val="20"/>
                <w:szCs w:val="20"/>
              </w:rPr>
              <w:t xml:space="preserve">В течение пяти </w:t>
            </w:r>
            <w:r w:rsidR="00CB0271" w:rsidRPr="00474759">
              <w:rPr>
                <w:rFonts w:cs="Times New Roman"/>
                <w:color w:val="000000"/>
                <w:sz w:val="20"/>
                <w:szCs w:val="20"/>
              </w:rPr>
              <w:t>рабочих</w:t>
            </w:r>
            <w:r w:rsidRPr="00474759">
              <w:rPr>
                <w:rFonts w:cs="Times New Roman"/>
                <w:color w:val="000000"/>
                <w:sz w:val="20"/>
                <w:szCs w:val="20"/>
              </w:rPr>
              <w:t xml:space="preserve">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474759" w:rsidRDefault="007A01F1" w:rsidP="000F100B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4" w:name="z398"/>
            <w:r w:rsidRPr="00474759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13"/>
            <w:bookmarkEnd w:id="14"/>
          </w:p>
        </w:tc>
      </w:tr>
    </w:tbl>
    <w:p w:rsidR="00E4253F" w:rsidRPr="00474759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474759" w:rsidTr="00F65F58">
        <w:tc>
          <w:tcPr>
            <w:tcW w:w="3085" w:type="dxa"/>
            <w:vAlign w:val="center"/>
          </w:tcPr>
          <w:p w:rsidR="007A01F1" w:rsidRPr="0047475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74759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474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474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b/>
              </w:rPr>
              <w:t>алу</w:t>
            </w:r>
            <w:proofErr w:type="spellEnd"/>
            <w:r w:rsidRPr="00474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474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b/>
              </w:rPr>
              <w:t>бө</w:t>
            </w:r>
            <w:proofErr w:type="gramStart"/>
            <w:r w:rsidRPr="00474759">
              <w:rPr>
                <w:rFonts w:ascii="Times New Roman" w:hAnsi="Times New Roman"/>
                <w:b/>
              </w:rPr>
              <w:t>л</w:t>
            </w:r>
            <w:proofErr w:type="gramEnd"/>
            <w:r w:rsidRPr="00474759">
              <w:rPr>
                <w:rFonts w:ascii="Times New Roman" w:hAnsi="Times New Roman"/>
                <w:b/>
              </w:rPr>
              <w:t>ім</w:t>
            </w:r>
            <w:proofErr w:type="spellEnd"/>
            <w:r w:rsidRPr="0047475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74759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47475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474759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47475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474759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474759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474759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474759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86053E" w:rsidRPr="00474759" w:rsidRDefault="0080080F" w:rsidP="0048597F">
      <w:pPr>
        <w:rPr>
          <w:rFonts w:cs="Times New Roman"/>
          <w:sz w:val="20"/>
          <w:szCs w:val="20"/>
        </w:rPr>
      </w:pPr>
      <w:r w:rsidRPr="00474759">
        <w:rPr>
          <w:rFonts w:cs="Times New Roman"/>
          <w:i/>
          <w:sz w:val="20"/>
          <w:szCs w:val="20"/>
        </w:rPr>
        <w:t>8-727-278-04-44</w:t>
      </w:r>
    </w:p>
    <w:sectPr w:rsidR="0086053E" w:rsidRPr="00474759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B7F2C"/>
    <w:rsid w:val="000D0FEE"/>
    <w:rsid w:val="000D1B46"/>
    <w:rsid w:val="000D2585"/>
    <w:rsid w:val="000E770C"/>
    <w:rsid w:val="000F100B"/>
    <w:rsid w:val="000F573C"/>
    <w:rsid w:val="00111DA7"/>
    <w:rsid w:val="001120D6"/>
    <w:rsid w:val="00117419"/>
    <w:rsid w:val="0011772E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A440B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C20FD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4759"/>
    <w:rsid w:val="00477377"/>
    <w:rsid w:val="0048407F"/>
    <w:rsid w:val="0048597F"/>
    <w:rsid w:val="00496264"/>
    <w:rsid w:val="004A27C1"/>
    <w:rsid w:val="004A3250"/>
    <w:rsid w:val="004C7A9C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C2288"/>
    <w:rsid w:val="005D31CB"/>
    <w:rsid w:val="005F1882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54797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C688C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39E7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B65E1"/>
    <w:rsid w:val="00BD2797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0271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45BAB"/>
    <w:rsid w:val="00D53757"/>
    <w:rsid w:val="00D62F31"/>
    <w:rsid w:val="00D757F8"/>
    <w:rsid w:val="00D92090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5270A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47475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ubtle Emphasis"/>
    <w:basedOn w:val="a0"/>
    <w:uiPriority w:val="19"/>
    <w:qFormat/>
    <w:rsid w:val="00474759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D2E3-BD81-4DE9-A665-2DA0CD5E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3232</TotalTime>
  <Pages>4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172</cp:revision>
  <cp:lastPrinted>2023-02-22T03:42:00Z</cp:lastPrinted>
  <dcterms:created xsi:type="dcterms:W3CDTF">2019-01-15T05:22:00Z</dcterms:created>
  <dcterms:modified xsi:type="dcterms:W3CDTF">2023-02-22T03:42:00Z</dcterms:modified>
</cp:coreProperties>
</file>