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7A01F1"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0B7F2C" w:rsidRPr="00A939E7">
              <w:rPr>
                <w:rFonts w:ascii="Times New Roman" w:hAnsi="Times New Roman"/>
                <w:sz w:val="20"/>
                <w:szCs w:val="20"/>
              </w:rPr>
              <w:t>31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A939E7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A939E7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0B7F2C" w:rsidRPr="00A939E7">
              <w:rPr>
                <w:rFonts w:cs="Times New Roman"/>
                <w:sz w:val="20"/>
                <w:szCs w:val="20"/>
              </w:rPr>
              <w:t>31</w:t>
            </w:r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A939E7">
              <w:rPr>
                <w:rFonts w:cs="Times New Roman"/>
                <w:sz w:val="20"/>
                <w:szCs w:val="20"/>
              </w:rPr>
              <w:t>января</w:t>
            </w:r>
            <w:r w:rsidRPr="00A939E7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939E7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939E7">
              <w:rPr>
                <w:rStyle w:val="s1"/>
                <w:sz w:val="20"/>
                <w:szCs w:val="20"/>
              </w:rPr>
              <w:t>«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939E7">
              <w:rPr>
                <w:rStyle w:val="s1"/>
                <w:sz w:val="20"/>
                <w:szCs w:val="20"/>
              </w:rPr>
              <w:t>»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939E7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A939E7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A939E7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5C2288" w:rsidRPr="00A939E7" w:rsidTr="00106C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20"/>
                <w:szCs w:val="20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дает возможность</w:t>
            </w:r>
            <w:proofErr w:type="gramEnd"/>
            <w:r>
              <w:rPr>
                <w:sz w:val="20"/>
                <w:szCs w:val="20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20"/>
                <w:szCs w:val="20"/>
              </w:rPr>
              <w:t>перфузионное</w:t>
            </w:r>
            <w:proofErr w:type="spellEnd"/>
            <w:r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68 000,00   </w:t>
            </w:r>
          </w:p>
        </w:tc>
      </w:tr>
      <w:tr w:rsidR="005C2288" w:rsidRPr="00A939E7" w:rsidTr="004D523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соединительный для подключения диагностических катетеров </w:t>
            </w:r>
            <w:proofErr w:type="spellStart"/>
            <w:r>
              <w:rPr>
                <w:sz w:val="20"/>
                <w:szCs w:val="20"/>
              </w:rPr>
              <w:t>Pentaray</w:t>
            </w:r>
            <w:proofErr w:type="spellEnd"/>
            <w:r>
              <w:rPr>
                <w:sz w:val="20"/>
                <w:szCs w:val="20"/>
              </w:rPr>
              <w:t>. Разъем соединительный со стороны системы Carto3 – 34 контактный, быстросъемный, синий</w:t>
            </w:r>
            <w:r>
              <w:rPr>
                <w:sz w:val="20"/>
                <w:szCs w:val="20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528 000,00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528 000,00   </w:t>
            </w:r>
          </w:p>
        </w:tc>
      </w:tr>
      <w:tr w:rsidR="005C2288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980 500,00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980 500,00   </w:t>
            </w:r>
          </w:p>
        </w:tc>
      </w:tr>
      <w:tr w:rsidR="005C2288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Стероид-</w:t>
            </w:r>
            <w:proofErr w:type="spellStart"/>
            <w:r>
              <w:rPr>
                <w:sz w:val="20"/>
                <w:szCs w:val="20"/>
              </w:rPr>
              <w:t>элюирующий</w:t>
            </w:r>
            <w:proofErr w:type="spellEnd"/>
            <w:r>
              <w:rPr>
                <w:sz w:val="20"/>
                <w:szCs w:val="20"/>
              </w:rPr>
              <w:t xml:space="preserve">, моно полярный, биполярный, </w:t>
            </w:r>
            <w:proofErr w:type="spellStart"/>
            <w:r>
              <w:rPr>
                <w:sz w:val="20"/>
                <w:szCs w:val="20"/>
              </w:rPr>
              <w:t>эпикардиальный</w:t>
            </w:r>
            <w:proofErr w:type="spellEnd"/>
            <w:r>
              <w:rPr>
                <w:sz w:val="20"/>
                <w:szCs w:val="20"/>
              </w:rPr>
              <w:t xml:space="preserve"> предсердный и/или желудочковый электрод с длиной электрода  35, 60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380 000,00   </w:t>
            </w:r>
          </w:p>
        </w:tc>
      </w:tr>
      <w:tr w:rsidR="005C2288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Хирургический кабел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электроды для временной ЭКС для программы </w:t>
            </w:r>
            <w:proofErr w:type="spellStart"/>
            <w:r>
              <w:rPr>
                <w:sz w:val="20"/>
                <w:szCs w:val="20"/>
              </w:rPr>
              <w:t>Medtronic</w:t>
            </w:r>
            <w:proofErr w:type="spellEnd"/>
            <w:r>
              <w:rPr>
                <w:sz w:val="20"/>
                <w:szCs w:val="20"/>
              </w:rPr>
              <w:t xml:space="preserve"> 2292. 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</w:t>
            </w:r>
            <w:r>
              <w:rPr>
                <w:sz w:val="20"/>
                <w:szCs w:val="20"/>
              </w:rPr>
              <w:lastRenderedPageBreak/>
              <w:t>отведения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97 000,00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485 000,00   </w:t>
            </w:r>
          </w:p>
        </w:tc>
      </w:tr>
    </w:tbl>
    <w:p w:rsidR="007A01F1" w:rsidRPr="00A939E7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F65F58"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сома </w:t>
            </w:r>
            <w:r w:rsidR="005C2288">
              <w:rPr>
                <w:sz w:val="20"/>
                <w:szCs w:val="20"/>
                <w:lang w:val="kk-KZ"/>
              </w:rPr>
              <w:t>2 441 500</w:t>
            </w:r>
            <w:r w:rsidR="00A939E7" w:rsidRPr="00A939E7">
              <w:rPr>
                <w:sz w:val="20"/>
                <w:szCs w:val="20"/>
              </w:rPr>
              <w:t xml:space="preserve">,00 </w:t>
            </w:r>
            <w:r w:rsidR="0078134E" w:rsidRPr="00A939E7">
              <w:rPr>
                <w:rFonts w:cs="Times New Roman"/>
                <w:sz w:val="20"/>
                <w:szCs w:val="20"/>
              </w:rPr>
              <w:t>(</w:t>
            </w:r>
            <w:r w:rsidR="005C2288">
              <w:rPr>
                <w:sz w:val="20"/>
                <w:szCs w:val="20"/>
                <w:lang w:val="kk-KZ"/>
              </w:rPr>
              <w:t>екі миллион төрт жүз қырық бі</w:t>
            </w:r>
            <w:proofErr w:type="gramStart"/>
            <w:r w:rsidR="005C2288">
              <w:rPr>
                <w:sz w:val="20"/>
                <w:szCs w:val="20"/>
                <w:lang w:val="kk-KZ"/>
              </w:rPr>
              <w:t>р</w:t>
            </w:r>
            <w:proofErr w:type="gramEnd"/>
            <w:r w:rsidR="005C2288">
              <w:rPr>
                <w:sz w:val="20"/>
                <w:szCs w:val="20"/>
                <w:lang w:val="kk-KZ"/>
              </w:rPr>
              <w:t xml:space="preserve"> мың бес жүз</w:t>
            </w:r>
            <w:r w:rsidR="0078134E"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A939E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A939E7">
              <w:rPr>
                <w:rFonts w:cs="Times New Roman"/>
                <w:sz w:val="20"/>
                <w:szCs w:val="20"/>
              </w:rPr>
              <w:t>: 09:</w:t>
            </w:r>
            <w:r w:rsidRPr="00A939E7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шешім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939E7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мерзімде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5C2288">
              <w:rPr>
                <w:sz w:val="20"/>
                <w:szCs w:val="20"/>
                <w:lang w:val="kk-KZ"/>
              </w:rPr>
              <w:t>2 441 500</w:t>
            </w:r>
            <w:r w:rsidR="00A939E7" w:rsidRPr="00A939E7">
              <w:rPr>
                <w:sz w:val="20"/>
                <w:szCs w:val="20"/>
              </w:rPr>
              <w:t>,</w:t>
            </w:r>
            <w:r w:rsidR="000B7F2C" w:rsidRPr="00A939E7">
              <w:rPr>
                <w:sz w:val="20"/>
                <w:szCs w:val="20"/>
              </w:rPr>
              <w:t>00</w:t>
            </w:r>
            <w:r w:rsidR="0078134E" w:rsidRPr="00A939E7">
              <w:rPr>
                <w:sz w:val="20"/>
                <w:szCs w:val="20"/>
              </w:rPr>
              <w:t xml:space="preserve"> </w:t>
            </w:r>
            <w:r w:rsidRPr="00A939E7">
              <w:rPr>
                <w:sz w:val="20"/>
                <w:szCs w:val="20"/>
              </w:rPr>
              <w:t>(</w:t>
            </w:r>
            <w:r w:rsidR="005C2288">
              <w:rPr>
                <w:sz w:val="20"/>
                <w:szCs w:val="20"/>
                <w:lang w:val="kk-KZ"/>
              </w:rPr>
              <w:t>два миллиона четыреста сорок одна тысяча пятьсот</w:t>
            </w:r>
            <w:r w:rsidRPr="00A939E7">
              <w:rPr>
                <w:sz w:val="20"/>
                <w:szCs w:val="20"/>
              </w:rPr>
              <w:t>) тенге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939E7">
              <w:rPr>
                <w:rFonts w:cs="Times New Roman"/>
                <w:sz w:val="20"/>
                <w:szCs w:val="20"/>
              </w:rPr>
              <w:t xml:space="preserve"> часов</w:t>
            </w:r>
            <w:bookmarkStart w:id="0" w:name="_GoBack"/>
            <w:bookmarkEnd w:id="0"/>
            <w:r w:rsidRPr="00A939E7">
              <w:rPr>
                <w:rFonts w:cs="Times New Roman"/>
                <w:sz w:val="20"/>
                <w:szCs w:val="20"/>
              </w:rPr>
              <w:t xml:space="preserve">, место вскрытия: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939E7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939E7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939E7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939E7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939E7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939E7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939E7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939E7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939E7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рабочих дней со дня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939E7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A939E7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A939E7" w:rsidTr="00F65F58">
        <w:tc>
          <w:tcPr>
            <w:tcW w:w="3085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алу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бө</w:t>
            </w:r>
            <w:proofErr w:type="gramStart"/>
            <w:r w:rsidRPr="00A939E7">
              <w:rPr>
                <w:rFonts w:ascii="Times New Roman" w:hAnsi="Times New Roman"/>
                <w:b/>
              </w:rPr>
              <w:t>л</w:t>
            </w:r>
            <w:proofErr w:type="gramEnd"/>
            <w:r w:rsidRPr="00A939E7">
              <w:rPr>
                <w:rFonts w:ascii="Times New Roman" w:hAnsi="Times New Roman"/>
                <w:b/>
              </w:rPr>
              <w:t>ім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A939E7" w:rsidRDefault="00E4253F" w:rsidP="0048597F">
      <w:pPr>
        <w:rPr>
          <w:rFonts w:cs="Times New Roman"/>
          <w:sz w:val="22"/>
          <w:szCs w:val="22"/>
        </w:rPr>
      </w:pPr>
    </w:p>
    <w:p w:rsidR="007A01F1" w:rsidRPr="00A939E7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A939E7" w:rsidRDefault="0080080F" w:rsidP="0048597F">
      <w:pPr>
        <w:rPr>
          <w:rFonts w:cs="Times New Roman"/>
          <w:sz w:val="20"/>
          <w:szCs w:val="20"/>
        </w:rPr>
      </w:pPr>
      <w:r w:rsidRPr="00A939E7">
        <w:rPr>
          <w:rFonts w:cs="Times New Roman"/>
          <w:i/>
          <w:sz w:val="20"/>
          <w:szCs w:val="20"/>
        </w:rPr>
        <w:t>8-727-278-04-44</w:t>
      </w:r>
    </w:p>
    <w:sectPr w:rsidR="0086053E" w:rsidRPr="00A939E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A299-3E25-4553-A69A-8A30A3F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159</cp:revision>
  <cp:lastPrinted>2023-02-01T05:14:00Z</cp:lastPrinted>
  <dcterms:created xsi:type="dcterms:W3CDTF">2019-01-15T05:22:00Z</dcterms:created>
  <dcterms:modified xsi:type="dcterms:W3CDTF">2023-02-01T05:15:00Z</dcterms:modified>
</cp:coreProperties>
</file>