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882" w:rsidTr="007A01F1">
        <w:tc>
          <w:tcPr>
            <w:tcW w:w="4927" w:type="dxa"/>
          </w:tcPr>
          <w:p w:rsidR="007A01F1" w:rsidRPr="005F188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188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5F188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5F1882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5F188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882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5F188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D92090" w:rsidRPr="005F1882">
              <w:rPr>
                <w:rFonts w:ascii="Times New Roman" w:hAnsi="Times New Roman"/>
                <w:sz w:val="20"/>
                <w:szCs w:val="20"/>
              </w:rPr>
              <w:t>20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BB65E1" w:rsidRPr="005F1882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5F188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5F188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5F188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5F18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»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F188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5F188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88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1882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5F188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1882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5F188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5F188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D92090" w:rsidRPr="005F1882">
              <w:rPr>
                <w:rFonts w:cs="Times New Roman"/>
                <w:sz w:val="20"/>
                <w:szCs w:val="20"/>
              </w:rPr>
              <w:t>20</w:t>
            </w:r>
            <w:r w:rsidRPr="005F1882">
              <w:rPr>
                <w:rFonts w:cs="Times New Roman"/>
                <w:sz w:val="20"/>
                <w:szCs w:val="20"/>
              </w:rPr>
              <w:t xml:space="preserve">» </w:t>
            </w:r>
            <w:r w:rsidR="00BB65E1" w:rsidRPr="005F1882">
              <w:rPr>
                <w:rFonts w:cs="Times New Roman"/>
                <w:sz w:val="20"/>
                <w:szCs w:val="20"/>
              </w:rPr>
              <w:t>февраля</w:t>
            </w:r>
            <w:r w:rsidRPr="005F1882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5F1882">
              <w:rPr>
                <w:rFonts w:cs="Times New Roman"/>
                <w:sz w:val="20"/>
                <w:szCs w:val="20"/>
              </w:rPr>
              <w:t>3</w:t>
            </w:r>
            <w:r w:rsidRPr="005F1882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5F188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5F1882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5F1882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5F1882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5F1882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5F1882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F1882">
              <w:rPr>
                <w:rStyle w:val="s1"/>
                <w:sz w:val="20"/>
                <w:szCs w:val="20"/>
              </w:rPr>
              <w:t>«</w:t>
            </w:r>
            <w:r w:rsidR="005F1882" w:rsidRPr="005F1882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</w:t>
            </w:r>
            <w:bookmarkStart w:id="0" w:name="_GoBack"/>
            <w:bookmarkEnd w:id="0"/>
            <w:r w:rsidR="005F1882" w:rsidRPr="005F1882">
              <w:rPr>
                <w:color w:val="000000"/>
                <w:sz w:val="20"/>
                <w:szCs w:val="20"/>
              </w:rPr>
              <w:t xml:space="preserve">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882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882">
              <w:rPr>
                <w:rStyle w:val="s1"/>
                <w:sz w:val="20"/>
                <w:szCs w:val="20"/>
              </w:rPr>
              <w:t>»</w:t>
            </w:r>
            <w:r w:rsidRPr="005F1882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88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5F188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5F188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5F188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5F188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5F188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5F188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5F188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0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67"/>
        <w:gridCol w:w="3119"/>
        <w:gridCol w:w="992"/>
        <w:gridCol w:w="1276"/>
        <w:gridCol w:w="1447"/>
        <w:gridCol w:w="1418"/>
      </w:tblGrid>
      <w:tr w:rsidR="00BB65E1" w:rsidRPr="00C767BF" w:rsidTr="00C767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C767BF" w:rsidRDefault="00BB65E1" w:rsidP="00C767BF">
            <w:pPr>
              <w:rPr>
                <w:rFonts w:cs="Times New Roman"/>
                <w:b/>
                <w:sz w:val="20"/>
                <w:szCs w:val="20"/>
              </w:rPr>
            </w:pPr>
            <w:r w:rsidRPr="00C767B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C767BF" w:rsidRDefault="00BB65E1" w:rsidP="00C767BF">
            <w:pPr>
              <w:rPr>
                <w:rFonts w:cs="Times New Roman"/>
                <w:b/>
                <w:sz w:val="20"/>
                <w:szCs w:val="20"/>
              </w:rPr>
            </w:pPr>
            <w:r w:rsidRPr="00C767B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BB65E1" w:rsidRPr="00C767BF" w:rsidRDefault="00BB65E1" w:rsidP="00C767B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67BF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C767BF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B65E1" w:rsidRPr="00C767BF" w:rsidRDefault="005F1882" w:rsidP="00C767B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C767B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C767BF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C767BF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C767BF" w:rsidRDefault="00BB65E1" w:rsidP="00C767B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C767B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C767BF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C767BF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C767BF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C767BF" w:rsidRDefault="00BB65E1" w:rsidP="00C767BF">
            <w:pPr>
              <w:rPr>
                <w:rFonts w:cs="Times New Roman"/>
                <w:b/>
                <w:sz w:val="20"/>
                <w:szCs w:val="20"/>
              </w:rPr>
            </w:pPr>
            <w:r w:rsidRPr="00C767BF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C767BF" w:rsidRDefault="00BB65E1" w:rsidP="00C767BF">
            <w:pPr>
              <w:rPr>
                <w:rFonts w:cs="Times New Roman"/>
                <w:b/>
                <w:sz w:val="20"/>
                <w:szCs w:val="20"/>
              </w:rPr>
            </w:pPr>
            <w:r w:rsidRPr="00C767BF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C767B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C767BF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767B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C767BF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C767BF" w:rsidRDefault="00BB65E1" w:rsidP="00C767B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67BF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C767BF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C767BF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C767BF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 0,5 % -100 мл Стерильно!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750,00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505,00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378 750,00</w:t>
            </w:r>
          </w:p>
        </w:tc>
      </w:tr>
      <w:tr w:rsidR="00C767BF" w:rsidRPr="00C767BF" w:rsidTr="00C767BF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 0,25 % -250 мл Стерильно!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1 800,00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552,00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993 600,00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Глюкоза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C767BF">
              <w:rPr>
                <w:rFonts w:cs="Times New Roman"/>
                <w:sz w:val="20"/>
                <w:szCs w:val="20"/>
              </w:rPr>
              <w:t xml:space="preserve"> 20 % 200 мл в емкости 400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3 400,00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619,00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2 104 600,00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натрия гидрокарбоната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C767BF">
              <w:rPr>
                <w:rFonts w:cs="Times New Roman"/>
                <w:sz w:val="20"/>
                <w:szCs w:val="20"/>
              </w:rPr>
              <w:t xml:space="preserve"> 4%, 200,0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603,00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1 809 000,00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калия хлорида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C767BF">
              <w:rPr>
                <w:rFonts w:cs="Times New Roman"/>
                <w:sz w:val="20"/>
                <w:szCs w:val="20"/>
              </w:rPr>
              <w:t xml:space="preserve"> 3% 200,0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2 850,00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1 607 400,00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калия хлорида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C767BF">
              <w:rPr>
                <w:rFonts w:cs="Times New Roman"/>
                <w:sz w:val="20"/>
                <w:szCs w:val="20"/>
              </w:rPr>
              <w:t xml:space="preserve"> 4% 200,0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565,00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56 500,00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Вода очищенная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Для наружного применения 400,0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  <w:r w:rsidRPr="00C767B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67BF">
              <w:rPr>
                <w:rFonts w:cs="Times New Roman"/>
                <w:sz w:val="20"/>
                <w:szCs w:val="20"/>
              </w:rPr>
              <w:t>стерильная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1 400 000,00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100, 0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  <w:r w:rsidRPr="00C767B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767BF">
              <w:rPr>
                <w:rFonts w:cs="Times New Roman"/>
                <w:sz w:val="20"/>
                <w:szCs w:val="20"/>
              </w:rPr>
              <w:t>стерильное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632,00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12 640,00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C767B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67BF">
              <w:rPr>
                <w:rFonts w:cs="Times New Roman"/>
                <w:sz w:val="20"/>
                <w:szCs w:val="20"/>
              </w:rPr>
              <w:t>стерильное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780,00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218 400,00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азопирама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 xml:space="preserve">50,0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  <w:r w:rsidRPr="00C767B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767BF">
              <w:rPr>
                <w:rFonts w:cs="Times New Roman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172 500,00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натрия хлорида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767BF">
              <w:rPr>
                <w:rFonts w:cs="Times New Roman"/>
                <w:sz w:val="20"/>
                <w:szCs w:val="20"/>
              </w:rPr>
              <w:t>10 % 200,0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1 900,00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655,00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1 244 500,00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натрия хлорида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767BF">
              <w:rPr>
                <w:rFonts w:cs="Times New Roman"/>
                <w:sz w:val="20"/>
                <w:szCs w:val="20"/>
              </w:rPr>
              <w:t>30 % 200,0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793,00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63 440,00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уксусной кислоты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767BF">
              <w:rPr>
                <w:rFonts w:cs="Times New Roman"/>
                <w:sz w:val="20"/>
                <w:szCs w:val="20"/>
              </w:rPr>
              <w:t>1%-200,0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84 600,00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3% 1 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литр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715,00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50 050,00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30% х/</w:t>
            </w:r>
            <w:proofErr w:type="gramStart"/>
            <w:r w:rsidRPr="00C767BF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2 760,00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607 200,00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6% 1 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литр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740,00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930,00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688 200,00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767BF">
              <w:rPr>
                <w:rFonts w:cs="Times New Roman"/>
                <w:sz w:val="20"/>
                <w:szCs w:val="20"/>
              </w:rPr>
              <w:t>6% 500,0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465,00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232 500,00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Раствор фурацилина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767BF">
              <w:rPr>
                <w:rFonts w:cs="Times New Roman"/>
                <w:sz w:val="20"/>
                <w:szCs w:val="20"/>
              </w:rPr>
              <w:t>0,02% 400,0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3 500,00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598,00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2 093 000,00</w:t>
            </w:r>
          </w:p>
        </w:tc>
      </w:tr>
      <w:tr w:rsidR="00C767BF" w:rsidRPr="00C767BF" w:rsidTr="00C767B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Муравьиная кислота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767BF">
              <w:rPr>
                <w:rFonts w:cs="Times New Roman"/>
                <w:sz w:val="20"/>
                <w:szCs w:val="20"/>
              </w:rPr>
              <w:t>х/</w:t>
            </w:r>
            <w:proofErr w:type="gramStart"/>
            <w:r w:rsidRPr="00C767BF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C767BF">
              <w:rPr>
                <w:rFonts w:cs="Times New Roman"/>
                <w:sz w:val="20"/>
                <w:szCs w:val="20"/>
              </w:rPr>
              <w:t xml:space="preserve"> 85%-500,0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  <w:lang w:val="kk-KZ"/>
              </w:rPr>
              <w:t xml:space="preserve">Құты / </w:t>
            </w:r>
            <w:r w:rsidRPr="00C767BF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1 345,00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767BF" w:rsidRPr="00C767BF" w:rsidRDefault="00C767BF" w:rsidP="00C767BF">
            <w:pPr>
              <w:rPr>
                <w:rFonts w:cs="Times New Roman"/>
                <w:sz w:val="20"/>
                <w:szCs w:val="20"/>
              </w:rPr>
            </w:pPr>
            <w:r w:rsidRPr="00C767BF">
              <w:rPr>
                <w:rFonts w:cs="Times New Roman"/>
                <w:sz w:val="20"/>
                <w:szCs w:val="20"/>
              </w:rPr>
              <w:t>67 250,00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882" w:rsidTr="00CB0271">
        <w:tc>
          <w:tcPr>
            <w:tcW w:w="4927" w:type="dxa"/>
          </w:tcPr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C767BF" w:rsidRPr="00C767BF">
              <w:rPr>
                <w:sz w:val="20"/>
                <w:szCs w:val="20"/>
                <w:lang w:val="kk-KZ"/>
              </w:rPr>
              <w:t>13 884 130,00 (он үш миллион сегіз жүз сексен төрт мың жүз отыз) теңге.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  <w:r w:rsidRPr="00CB0271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  <w:r w:rsidRPr="00CB0271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28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78134E" w:rsidRPr="00CB0271">
              <w:rPr>
                <w:rFonts w:cs="Times New Roman"/>
                <w:sz w:val="20"/>
                <w:szCs w:val="20"/>
              </w:rPr>
              <w:t>02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CB0271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CB0271">
              <w:rPr>
                <w:rFonts w:cs="Times New Roman"/>
                <w:sz w:val="20"/>
                <w:szCs w:val="20"/>
              </w:rPr>
              <w:t>: 09:</w:t>
            </w:r>
            <w:r w:rsidRPr="00CB0271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28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78134E" w:rsidRPr="00CB0271">
              <w:rPr>
                <w:rFonts w:cs="Times New Roman"/>
                <w:sz w:val="20"/>
                <w:szCs w:val="20"/>
              </w:rPr>
              <w:t>02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>3</w:t>
            </w:r>
            <w:r w:rsidRPr="00CB0271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C767BF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CB0271">
              <w:rPr>
                <w:rFonts w:cs="Times New Roman"/>
                <w:sz w:val="20"/>
                <w:szCs w:val="20"/>
              </w:rPr>
              <w:t>: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 </w:t>
            </w:r>
            <w:r w:rsidR="00CB0271" w:rsidRPr="00CB0271"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CB0271">
              <w:rPr>
                <w:rFonts w:cs="Times New Roman"/>
                <w:sz w:val="20"/>
                <w:szCs w:val="20"/>
              </w:rPr>
              <w:t xml:space="preserve">ң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lastRenderedPageBreak/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CB0271">
              <w:rPr>
                <w:rFonts w:cs="Times New Roman"/>
                <w:sz w:val="20"/>
                <w:szCs w:val="20"/>
                <w:lang w:val="kk-KZ"/>
              </w:rPr>
              <w:t>141</w:t>
            </w:r>
            <w:r w:rsidRPr="00CB0271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тармағына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CB027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CB0271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lastRenderedPageBreak/>
              <w:t xml:space="preserve">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C767B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C767BF" w:rsidRPr="00C767BF">
              <w:rPr>
                <w:sz w:val="20"/>
                <w:szCs w:val="20"/>
              </w:rPr>
              <w:t>13 884 130,00</w:t>
            </w:r>
            <w:r w:rsidR="0078134E" w:rsidRPr="00C767BF">
              <w:rPr>
                <w:sz w:val="20"/>
                <w:szCs w:val="20"/>
              </w:rPr>
              <w:t xml:space="preserve"> </w:t>
            </w:r>
            <w:r w:rsidRPr="00C767BF">
              <w:rPr>
                <w:sz w:val="20"/>
                <w:szCs w:val="20"/>
              </w:rPr>
              <w:t>(</w:t>
            </w:r>
            <w:r w:rsidR="00C767BF" w:rsidRPr="00C767BF">
              <w:rPr>
                <w:sz w:val="20"/>
                <w:szCs w:val="20"/>
              </w:rPr>
              <w:t>тринадцать миллионов восемьсот восемьдесят четыре тысячи сто тридцать</w:t>
            </w:r>
            <w:r w:rsidRPr="00C767BF">
              <w:rPr>
                <w:sz w:val="20"/>
                <w:szCs w:val="20"/>
              </w:rPr>
              <w:t>) тенге</w:t>
            </w:r>
            <w:r w:rsidRPr="00C767B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  <w:lang w:val="kk-KZ"/>
              </w:rPr>
              <w:t>Срок п</w:t>
            </w:r>
            <w:proofErr w:type="spellStart"/>
            <w:r w:rsidR="007A01F1" w:rsidRPr="00CB0271">
              <w:rPr>
                <w:rFonts w:cs="Times New Roman"/>
                <w:b/>
                <w:sz w:val="20"/>
                <w:szCs w:val="20"/>
              </w:rPr>
              <w:t>оставк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  <w:lang w:val="kk-KZ"/>
              </w:rPr>
              <w:t>и</w:t>
            </w:r>
            <w:r w:rsidR="007A01F1" w:rsidRPr="00CB0271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CB0271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CB0271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28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78134E" w:rsidRPr="00CB0271">
              <w:rPr>
                <w:rFonts w:cs="Times New Roman"/>
                <w:sz w:val="20"/>
                <w:szCs w:val="20"/>
              </w:rPr>
              <w:t>02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>3</w:t>
            </w:r>
            <w:r w:rsidRPr="00CB0271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CB0271">
              <w:rPr>
                <w:rFonts w:cs="Times New Roman"/>
                <w:sz w:val="20"/>
                <w:szCs w:val="20"/>
              </w:rPr>
              <w:t xml:space="preserve">: дата 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28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78134E" w:rsidRPr="00CB0271">
              <w:rPr>
                <w:rFonts w:cs="Times New Roman"/>
                <w:sz w:val="20"/>
                <w:szCs w:val="20"/>
              </w:rPr>
              <w:t>02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>3</w:t>
            </w:r>
            <w:r w:rsidRPr="00CB0271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C767BF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CB0271">
              <w:rPr>
                <w:rFonts w:cs="Times New Roman"/>
                <w:sz w:val="20"/>
                <w:szCs w:val="20"/>
              </w:rPr>
              <w:t>: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CB0271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CB0271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lastRenderedPageBreak/>
              <w:t>утвержденной уполномоченным органом в области здравоохранения.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CB0271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CB0271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CB0271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141 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CB0271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CB0271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CB0271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B0271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CB027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CB0271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B0271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CB0271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CB0271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CB0271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CB0271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CB0271">
              <w:rPr>
                <w:color w:val="000000"/>
                <w:sz w:val="20"/>
                <w:szCs w:val="20"/>
              </w:rPr>
              <w:t xml:space="preserve"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</w:t>
            </w:r>
            <w:r w:rsidRPr="00CB0271">
              <w:rPr>
                <w:color w:val="000000"/>
                <w:sz w:val="20"/>
                <w:szCs w:val="20"/>
              </w:rPr>
              <w:lastRenderedPageBreak/>
              <w:t>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CB0271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CB0271">
              <w:rPr>
                <w:rFonts w:cs="Times New Roman"/>
                <w:color w:val="000000"/>
                <w:sz w:val="20"/>
                <w:szCs w:val="20"/>
                <w:lang w:val="kk-KZ"/>
              </w:rPr>
              <w:t>рабочих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CB0271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CB0271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882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5F1882" w:rsidTr="00F65F58">
        <w:tc>
          <w:tcPr>
            <w:tcW w:w="3085" w:type="dxa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5F1882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алу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бө</w:t>
            </w:r>
            <w:proofErr w:type="gramStart"/>
            <w:r w:rsidRPr="005F1882">
              <w:rPr>
                <w:rFonts w:ascii="Times New Roman" w:hAnsi="Times New Roman"/>
                <w:b/>
              </w:rPr>
              <w:t>л</w:t>
            </w:r>
            <w:proofErr w:type="gramEnd"/>
            <w:r w:rsidRPr="005F1882">
              <w:rPr>
                <w:rFonts w:ascii="Times New Roman" w:hAnsi="Times New Roman"/>
                <w:b/>
              </w:rPr>
              <w:t>ім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5F1882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5F1882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5F1882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5F1882" w:rsidRDefault="0080080F" w:rsidP="0048597F">
      <w:pPr>
        <w:rPr>
          <w:rFonts w:cs="Times New Roman"/>
          <w:sz w:val="20"/>
          <w:szCs w:val="20"/>
        </w:rPr>
      </w:pPr>
      <w:r w:rsidRPr="005F1882">
        <w:rPr>
          <w:rFonts w:cs="Times New Roman"/>
          <w:i/>
          <w:sz w:val="20"/>
          <w:szCs w:val="20"/>
        </w:rPr>
        <w:t>8-727-278-04-44</w:t>
      </w:r>
    </w:p>
    <w:sectPr w:rsidR="0086053E" w:rsidRPr="005F188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C20FD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1882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767BF"/>
    <w:rsid w:val="00C81528"/>
    <w:rsid w:val="00C84867"/>
    <w:rsid w:val="00C9554B"/>
    <w:rsid w:val="00C95BA5"/>
    <w:rsid w:val="00CA25CE"/>
    <w:rsid w:val="00CB0271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25F2-F554-4E42-9D4A-7584DA4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4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172</cp:revision>
  <cp:lastPrinted>2023-02-22T03:56:00Z</cp:lastPrinted>
  <dcterms:created xsi:type="dcterms:W3CDTF">2019-01-15T05:22:00Z</dcterms:created>
  <dcterms:modified xsi:type="dcterms:W3CDTF">2023-02-22T03:58:00Z</dcterms:modified>
</cp:coreProperties>
</file>