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64CF0" w:rsidTr="007A01F1">
        <w:tc>
          <w:tcPr>
            <w:tcW w:w="4927" w:type="dxa"/>
          </w:tcPr>
          <w:p w:rsidR="007A01F1" w:rsidRPr="00E64CF0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64CF0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64CF0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CF0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E64CF0" w:rsidRPr="00E64CF0">
              <w:rPr>
                <w:rFonts w:ascii="Times New Roman" w:hAnsi="Times New Roman"/>
                <w:sz w:val="20"/>
                <w:szCs w:val="20"/>
              </w:rPr>
              <w:t>02</w:t>
            </w:r>
            <w:r w:rsidRPr="00E64CF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E64CF0" w:rsidRPr="00E64CF0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E64CF0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64CF0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64CF0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64CF0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CF0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64CF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64C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64CF0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64CF0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64CF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64CF0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64CF0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64CF0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64CF0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64CF0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E64CF0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E64CF0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64CF0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64CF0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E64CF0" w:rsidRPr="00E64CF0">
              <w:rPr>
                <w:rFonts w:cs="Times New Roman"/>
                <w:sz w:val="20"/>
                <w:szCs w:val="20"/>
              </w:rPr>
              <w:t>02</w:t>
            </w:r>
            <w:r w:rsidRPr="00E64CF0">
              <w:rPr>
                <w:rFonts w:cs="Times New Roman"/>
                <w:sz w:val="20"/>
                <w:szCs w:val="20"/>
              </w:rPr>
              <w:t xml:space="preserve">» </w:t>
            </w:r>
            <w:r w:rsidR="00E64CF0" w:rsidRPr="00E64CF0">
              <w:rPr>
                <w:rFonts w:cs="Times New Roman"/>
                <w:sz w:val="20"/>
                <w:szCs w:val="20"/>
              </w:rPr>
              <w:t>февраля</w:t>
            </w:r>
            <w:r w:rsidRPr="00E64CF0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64CF0">
              <w:rPr>
                <w:rFonts w:cs="Times New Roman"/>
                <w:sz w:val="20"/>
                <w:szCs w:val="20"/>
              </w:rPr>
              <w:t>3</w:t>
            </w:r>
            <w:r w:rsidRPr="00E64CF0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64CF0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64CF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64CF0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64CF0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64CF0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64CF0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64CF0">
              <w:rPr>
                <w:rStyle w:val="s1"/>
                <w:sz w:val="20"/>
                <w:szCs w:val="20"/>
              </w:rPr>
              <w:t>«</w:t>
            </w:r>
            <w:r w:rsidRPr="00E64CF0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64CF0">
              <w:rPr>
                <w:rStyle w:val="s1"/>
                <w:sz w:val="20"/>
                <w:szCs w:val="20"/>
              </w:rPr>
              <w:t>»</w:t>
            </w:r>
            <w:r w:rsidRPr="00E64CF0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64CF0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Организатор (Заказчик) – АО «Наци</w:t>
            </w:r>
            <w:bookmarkStart w:id="0" w:name="_GoBack"/>
            <w:bookmarkEnd w:id="0"/>
            <w:r w:rsidRPr="00E64CF0">
              <w:rPr>
                <w:rFonts w:cs="Times New Roman"/>
                <w:sz w:val="20"/>
                <w:szCs w:val="20"/>
              </w:rPr>
              <w:t xml:space="preserve">ональный научный центр хирургии имени А.Н.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64CF0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64CF0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64CF0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64CF0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64CF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64CF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E64CF0" w:rsidRPr="00E64CF0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64CF0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64CF0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64CF0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E64CF0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E64CF0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64CF0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64CF0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ТРОМБОРЕЛЬ С - человеческий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тромбопластин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для определения ПВ (ПТИ), МНО, фибриногена  и факторов II, V,VII,X, 10 x 10 мл/ 1000 тестов </w:t>
            </w:r>
            <w:r w:rsidR="00C84867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C84867" w:rsidRPr="00E64CF0">
              <w:rPr>
                <w:rFonts w:cs="Times New Roman"/>
                <w:sz w:val="20"/>
                <w:szCs w:val="20"/>
              </w:rPr>
              <w:t xml:space="preserve">принадлежностями </w:t>
            </w:r>
            <w:r w:rsidRPr="00E64CF0">
              <w:rPr>
                <w:rFonts w:cs="Times New Roman"/>
                <w:sz w:val="20"/>
                <w:szCs w:val="20"/>
              </w:rPr>
              <w:t xml:space="preserve">к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84867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C84867" w:rsidRPr="00E64CF0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70 380,00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1 055 700,00</w:t>
            </w:r>
          </w:p>
        </w:tc>
      </w:tr>
      <w:tr w:rsidR="00E64CF0" w:rsidRPr="00E64CF0" w:rsidTr="00C84867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ТЕСТ ТРОМБИН - реагент для определения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тромбинового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времени 10</w:t>
            </w:r>
            <w:r w:rsidR="00C84867"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Pr="00E64CF0">
              <w:rPr>
                <w:rFonts w:cs="Times New Roman"/>
                <w:sz w:val="20"/>
                <w:szCs w:val="20"/>
              </w:rPr>
              <w:t>x</w:t>
            </w:r>
            <w:r w:rsidR="00C84867"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Pr="00E64CF0">
              <w:rPr>
                <w:rFonts w:cs="Times New Roman"/>
                <w:sz w:val="20"/>
                <w:szCs w:val="20"/>
              </w:rPr>
              <w:t xml:space="preserve">5 мл тромбина, 1x55 мл буфера, 10 x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 500 тестов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19,00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37 900,00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720 100,00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 400 тестов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30 936,00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773 400,00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МУЛЬТИФИБРЕН "U" (бычий), 10 x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5.0 мл/ 500 тестов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52 416,00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52 416,00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PT-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Multi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calibrator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(6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levels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)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мультикалибратор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), 6 x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74 880,00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374 400,00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Fibrinogen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standards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level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1-6 (калибратор), Стандартный уровень 1-6 Фибриногена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113 280,00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113 280,00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фиброноген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анититромбин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III, Протеин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, Протеин S,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ProCGlobal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/FV,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ProCAc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R, альфа-2-антиплазмин,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плазминоген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Виллебранда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10 x 1.0 </w:t>
            </w:r>
            <w:r w:rsidRPr="00E64CF0">
              <w:rPr>
                <w:rFonts w:cs="Times New Roman"/>
                <w:sz w:val="20"/>
                <w:szCs w:val="20"/>
              </w:rPr>
              <w:lastRenderedPageBreak/>
              <w:t xml:space="preserve">мл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lastRenderedPageBreak/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74 520,00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223 560,00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фиброноген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анититромбин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III, Протеин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, Протеин S,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ProCGlobal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/FV,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ProCAc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R, альфа-2-антиплазмин,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плазминоген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общая функция комплемента, С1-ингибитор, фактор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Виллебранда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10 x 1.0 мл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. </w:t>
            </w:r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93 600,00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280 800,00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Хлорид кальция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Calcium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chloride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0,025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mol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/l, 10 x 15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21 120,00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211 200,00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Реакционные кюветы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Cuvettes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кюветы, 1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Unit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 3000 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6 300 000,00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Plasma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cups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(1.5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кюветы для образца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34 765,00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34 765,00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CA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Clean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I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cleaner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промывочный раствор, 1 x 50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35 640,00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2 494 800,00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CA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Clean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II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rinse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промывочный раствор 1 x 500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98 010,00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98 010,00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4476E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Буфер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Оурена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вароналовый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10*15 мл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71 280,00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1 069 200,00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4476E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Реакционные чашки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Dade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Behring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2х250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351 360,00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351 360,00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4476E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Thrombin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reagent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100 I. 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 xml:space="preserve">U. 10 x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(Реагент для определения Тромбина 100 I.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U. 10 x на 5 мл)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135 540,00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2 710 800,00</w:t>
            </w:r>
          </w:p>
        </w:tc>
      </w:tr>
      <w:tr w:rsidR="00E64CF0" w:rsidRPr="00E64CF0" w:rsidTr="00C8486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93BD6" w:rsidRPr="00E64CF0" w:rsidRDefault="004476E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Standard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human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plasma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10 x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(Стандартная плазма 10 x на 1 мл) </w:t>
            </w:r>
            <w:r w:rsidR="00E64CF0" w:rsidRPr="00E64CF0">
              <w:rPr>
                <w:rFonts w:cs="Times New Roman"/>
                <w:sz w:val="20"/>
                <w:szCs w:val="20"/>
              </w:rPr>
              <w:t>для автоматического анализатора свертываемости крови CS-2500 в комплекте с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E64CF0" w:rsidRPr="00E64CF0">
              <w:rPr>
                <w:rFonts w:cs="Times New Roman"/>
                <w:sz w:val="20"/>
                <w:szCs w:val="20"/>
              </w:rPr>
              <w:t xml:space="preserve">принадлежностями к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="00E64CF0" w:rsidRPr="00E64CF0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="00E64CF0" w:rsidRPr="00E64CF0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64CF0" w:rsidRPr="00E64CF0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="00E64CF0"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93 600,00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3BD6" w:rsidRPr="00E64CF0" w:rsidRDefault="00093BD6" w:rsidP="00C84867">
            <w:pPr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93 600,00</w:t>
            </w:r>
          </w:p>
        </w:tc>
      </w:tr>
    </w:tbl>
    <w:p w:rsidR="007A01F1" w:rsidRPr="00E64CF0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64CF0" w:rsidTr="00F65F58">
        <w:tc>
          <w:tcPr>
            <w:tcW w:w="4927" w:type="dxa"/>
          </w:tcPr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сома </w:t>
            </w:r>
            <w:r w:rsidR="00E64CF0" w:rsidRPr="00E64CF0">
              <w:rPr>
                <w:sz w:val="20"/>
                <w:szCs w:val="20"/>
              </w:rPr>
              <w:t xml:space="preserve">16 957 391,00 </w:t>
            </w:r>
            <w:r w:rsidRPr="00E64CF0">
              <w:rPr>
                <w:rFonts w:cs="Times New Roman"/>
                <w:sz w:val="20"/>
                <w:szCs w:val="20"/>
              </w:rPr>
              <w:t>(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он алты миллион тоғыз жү</w:t>
            </w:r>
            <w:proofErr w:type="gramStart"/>
            <w:r w:rsidR="00E64CF0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E64CF0">
              <w:rPr>
                <w:rFonts w:cs="Times New Roman"/>
                <w:sz w:val="20"/>
                <w:szCs w:val="20"/>
                <w:lang w:val="kk-KZ"/>
              </w:rPr>
              <w:t xml:space="preserve"> жеті мың үш жүз тоқсан бір</w:t>
            </w:r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E64CF0">
              <w:rPr>
                <w:rFonts w:cs="Times New Roman"/>
                <w:sz w:val="20"/>
                <w:szCs w:val="20"/>
              </w:rPr>
              <w:t>.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64CF0">
              <w:rPr>
                <w:rFonts w:cs="Times New Roman"/>
                <w:sz w:val="20"/>
                <w:szCs w:val="20"/>
              </w:rPr>
              <w:t>.202</w:t>
            </w:r>
            <w:r w:rsidR="00A33AE9" w:rsidRPr="00E64CF0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64CF0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64CF0">
              <w:rPr>
                <w:rFonts w:cs="Times New Roman"/>
                <w:sz w:val="20"/>
                <w:szCs w:val="20"/>
              </w:rPr>
              <w:t>: 09:</w:t>
            </w:r>
            <w:r w:rsidRPr="00E64CF0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E64CF0">
              <w:rPr>
                <w:rFonts w:cs="Times New Roman"/>
                <w:sz w:val="20"/>
                <w:szCs w:val="20"/>
              </w:rPr>
              <w:t>.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64CF0">
              <w:rPr>
                <w:rFonts w:cs="Times New Roman"/>
                <w:sz w:val="20"/>
                <w:szCs w:val="20"/>
              </w:rPr>
              <w:t>.202</w:t>
            </w:r>
            <w:r w:rsidR="00A33AE9" w:rsidRPr="00E64CF0">
              <w:rPr>
                <w:rFonts w:cs="Times New Roman"/>
                <w:sz w:val="20"/>
                <w:szCs w:val="20"/>
              </w:rPr>
              <w:t>3</w:t>
            </w:r>
            <w:r w:rsidRPr="00E64CF0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10: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64CF0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64CF0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lastRenderedPageBreak/>
              <w:t>заңмен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64CF0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64CF0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64CF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64CF0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64CF0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64CF0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64CF0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64CF0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E64CF0" w:rsidRPr="00E64CF0">
              <w:rPr>
                <w:sz w:val="20"/>
                <w:szCs w:val="20"/>
              </w:rPr>
              <w:t>16 957 391</w:t>
            </w:r>
            <w:r w:rsidR="00093BD6" w:rsidRPr="00E64CF0">
              <w:rPr>
                <w:sz w:val="20"/>
                <w:szCs w:val="20"/>
              </w:rPr>
              <w:t>,00</w:t>
            </w:r>
            <w:r w:rsidRPr="00E64CF0">
              <w:rPr>
                <w:sz w:val="20"/>
                <w:szCs w:val="20"/>
              </w:rPr>
              <w:t xml:space="preserve"> (</w:t>
            </w:r>
            <w:r w:rsidR="00E64CF0" w:rsidRPr="00E64CF0">
              <w:rPr>
                <w:sz w:val="20"/>
                <w:szCs w:val="20"/>
              </w:rPr>
              <w:t>шестнадцать миллионов девятьсот пятьдесят семь тысяч триста девяносто одна</w:t>
            </w:r>
            <w:r w:rsidRPr="00E64CF0">
              <w:rPr>
                <w:sz w:val="20"/>
                <w:szCs w:val="20"/>
              </w:rPr>
              <w:t>) тенге</w:t>
            </w:r>
            <w:r w:rsidRPr="00E64CF0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E64CF0">
              <w:rPr>
                <w:rFonts w:cs="Times New Roman"/>
                <w:sz w:val="20"/>
                <w:szCs w:val="20"/>
              </w:rPr>
              <w:t>.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64CF0">
              <w:rPr>
                <w:rFonts w:cs="Times New Roman"/>
                <w:sz w:val="20"/>
                <w:szCs w:val="20"/>
              </w:rPr>
              <w:t>.202</w:t>
            </w:r>
            <w:r w:rsidR="00A33AE9" w:rsidRPr="00E64CF0">
              <w:rPr>
                <w:rFonts w:cs="Times New Roman"/>
                <w:sz w:val="20"/>
                <w:szCs w:val="20"/>
              </w:rPr>
              <w:t>3</w:t>
            </w:r>
            <w:r w:rsidRPr="00E64CF0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E64CF0">
              <w:rPr>
                <w:rFonts w:cs="Times New Roman"/>
                <w:sz w:val="20"/>
                <w:szCs w:val="20"/>
              </w:rPr>
              <w:t>.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E64CF0">
              <w:rPr>
                <w:rFonts w:cs="Times New Roman"/>
                <w:sz w:val="20"/>
                <w:szCs w:val="20"/>
              </w:rPr>
              <w:t>.202</w:t>
            </w:r>
            <w:r w:rsidR="00A33AE9" w:rsidRPr="00E64CF0">
              <w:rPr>
                <w:rFonts w:cs="Times New Roman"/>
                <w:sz w:val="20"/>
                <w:szCs w:val="20"/>
              </w:rPr>
              <w:t>3</w:t>
            </w:r>
            <w:r w:rsidRPr="00E64CF0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E64CF0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E64CF0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64CF0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64CF0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</w:t>
            </w:r>
            <w:r w:rsidRPr="00E64CF0">
              <w:rPr>
                <w:rFonts w:cs="Times New Roman"/>
                <w:b/>
                <w:sz w:val="20"/>
                <w:szCs w:val="20"/>
              </w:rPr>
              <w:lastRenderedPageBreak/>
              <w:t>(Заказчика).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64CF0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64CF0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64CF0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64CF0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64CF0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64CF0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64CF0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64CF0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64CF0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64CF0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64CF0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64CF0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64CF0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64CF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4CF0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      </w:r>
            <w:r w:rsidRPr="00E64CF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осуществление деятельности в сфере оборота наркотических средств, психотропных веществ и </w:t>
            </w:r>
            <w:proofErr w:type="spellStart"/>
            <w:r w:rsidRPr="00E64CF0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64CF0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64CF0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64CF0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64CF0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64CF0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64CF0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64CF0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64CF0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E64CF0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E64CF0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64CF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64CF0" w:rsidTr="00F65F58">
        <w:tc>
          <w:tcPr>
            <w:tcW w:w="3085" w:type="dxa"/>
            <w:vAlign w:val="center"/>
          </w:tcPr>
          <w:p w:rsidR="007A01F1" w:rsidRPr="00E64CF0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64CF0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64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64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b/>
              </w:rPr>
              <w:t>алу</w:t>
            </w:r>
            <w:proofErr w:type="spellEnd"/>
            <w:r w:rsidRPr="00E64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64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b/>
              </w:rPr>
              <w:t>бө</w:t>
            </w:r>
            <w:proofErr w:type="gramStart"/>
            <w:r w:rsidRPr="00E64CF0">
              <w:rPr>
                <w:rFonts w:ascii="Times New Roman" w:hAnsi="Times New Roman"/>
                <w:b/>
              </w:rPr>
              <w:t>л</w:t>
            </w:r>
            <w:proofErr w:type="gramEnd"/>
            <w:r w:rsidRPr="00E64CF0">
              <w:rPr>
                <w:rFonts w:ascii="Times New Roman" w:hAnsi="Times New Roman"/>
                <w:b/>
              </w:rPr>
              <w:t>ім</w:t>
            </w:r>
            <w:proofErr w:type="spellEnd"/>
            <w:r w:rsidRPr="00E64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4CF0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64CF0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64CF0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64CF0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64CF0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64CF0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64CF0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64CF0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64CF0" w:rsidRDefault="00E4253F" w:rsidP="0048597F">
      <w:pPr>
        <w:rPr>
          <w:rFonts w:cs="Times New Roman"/>
          <w:sz w:val="22"/>
          <w:szCs w:val="22"/>
        </w:rPr>
      </w:pPr>
    </w:p>
    <w:p w:rsidR="007A01F1" w:rsidRPr="00E64CF0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E64CF0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E64CF0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E64CF0" w:rsidRDefault="007A01F1" w:rsidP="0048597F">
      <w:pPr>
        <w:rPr>
          <w:rFonts w:cs="Times New Roman"/>
          <w:sz w:val="20"/>
          <w:szCs w:val="20"/>
        </w:rPr>
      </w:pPr>
      <w:proofErr w:type="spellStart"/>
      <w:r w:rsidRPr="00E64CF0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E64CF0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E64CF0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E64CF0">
        <w:rPr>
          <w:rFonts w:cs="Times New Roman"/>
          <w:i/>
          <w:sz w:val="20"/>
          <w:szCs w:val="20"/>
        </w:rPr>
        <w:t xml:space="preserve"> К.</w:t>
      </w:r>
    </w:p>
    <w:p w:rsidR="0086053E" w:rsidRPr="00E64CF0" w:rsidRDefault="0080080F" w:rsidP="0048597F">
      <w:pPr>
        <w:rPr>
          <w:rFonts w:cs="Times New Roman"/>
          <w:sz w:val="20"/>
          <w:szCs w:val="20"/>
        </w:rPr>
      </w:pPr>
      <w:r w:rsidRPr="00E64CF0">
        <w:rPr>
          <w:rFonts w:cs="Times New Roman"/>
          <w:i/>
          <w:sz w:val="20"/>
          <w:szCs w:val="20"/>
        </w:rPr>
        <w:t>8-727-278-04-44</w:t>
      </w:r>
    </w:p>
    <w:sectPr w:rsidR="0086053E" w:rsidRPr="00E64CF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64CF0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4E8D-3249-4C17-A363-272D89B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153</cp:revision>
  <cp:lastPrinted>2023-02-02T03:57:00Z</cp:lastPrinted>
  <dcterms:created xsi:type="dcterms:W3CDTF">2019-01-15T05:22:00Z</dcterms:created>
  <dcterms:modified xsi:type="dcterms:W3CDTF">2023-02-02T03:58:00Z</dcterms:modified>
</cp:coreProperties>
</file>