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F32B0E" w:rsidTr="007A01F1"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F32B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681B49" w:rsidRPr="00F32B0E">
              <w:rPr>
                <w:rFonts w:ascii="Times New Roman" w:hAnsi="Times New Roman"/>
                <w:sz w:val="20"/>
                <w:szCs w:val="20"/>
              </w:rPr>
              <w:t>27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3B588D" w:rsidRPr="00F32B0E">
              <w:rPr>
                <w:rFonts w:ascii="Times New Roman" w:hAnsi="Times New Roman"/>
                <w:sz w:val="20"/>
                <w:szCs w:val="20"/>
              </w:rPr>
              <w:t>наурыз</w:t>
            </w:r>
            <w:proofErr w:type="spellEnd"/>
            <w:r w:rsidR="00A33AE9" w:rsidRPr="00F32B0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»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F32B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F32B0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B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F32B0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681B49" w:rsidRPr="00F32B0E">
              <w:rPr>
                <w:rFonts w:cs="Times New Roman"/>
                <w:sz w:val="20"/>
                <w:szCs w:val="20"/>
              </w:rPr>
              <w:t>27</w:t>
            </w:r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  <w:r w:rsidR="003B588D" w:rsidRPr="00F32B0E">
              <w:rPr>
                <w:rFonts w:cs="Times New Roman"/>
                <w:sz w:val="20"/>
                <w:szCs w:val="20"/>
              </w:rPr>
              <w:t>марта</w:t>
            </w:r>
            <w:r w:rsidRPr="00F32B0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F32B0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F32B0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F32B0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F32B0E">
              <w:rPr>
                <w:rStyle w:val="s1"/>
                <w:sz w:val="20"/>
                <w:szCs w:val="20"/>
              </w:rPr>
              <w:t>«</w:t>
            </w:r>
            <w:r w:rsidR="005F1882" w:rsidRPr="00F32B0E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F32B0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F32B0E">
              <w:rPr>
                <w:rStyle w:val="s1"/>
                <w:sz w:val="20"/>
                <w:szCs w:val="20"/>
              </w:rPr>
              <w:t>»</w:t>
            </w:r>
            <w:r w:rsidRPr="00F32B0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F32B0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F32B0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F32B0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F32B0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992"/>
        <w:gridCol w:w="1276"/>
        <w:gridCol w:w="1447"/>
        <w:gridCol w:w="1418"/>
      </w:tblGrid>
      <w:tr w:rsidR="00BB65E1" w:rsidRPr="00F32B0E" w:rsidTr="0031534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F32B0E" w:rsidRDefault="00BB65E1" w:rsidP="00315349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F32B0E" w:rsidRDefault="00BB65E1" w:rsidP="00315349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F32B0E" w:rsidRDefault="00BB65E1" w:rsidP="0031534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F32B0E" w:rsidRDefault="005F1882" w:rsidP="0031534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ерекшелігі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</w:t>
            </w:r>
            <w:r w:rsidR="00BB65E1" w:rsidRPr="00F32B0E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F32B0E" w:rsidRDefault="00BB65E1" w:rsidP="0031534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F32B0E" w:rsidRDefault="00BB65E1" w:rsidP="00315349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F32B0E" w:rsidRDefault="00BB65E1" w:rsidP="00315349">
            <w:pPr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F32B0E" w:rsidRDefault="00BB65E1" w:rsidP="0031534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Pr="00F32B0E" w:rsidRDefault="00315349" w:rsidP="00315349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Дренаж типа "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Ульмера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Этот тип дренажа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Ульмера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должен 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t>обеспечиват</w:t>
            </w:r>
            <w:r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равномерную эвакуацию раневого отделяемого с одновременной возможностью введения лекарственных или антисептических средств непосредственно в зону дренирования. • Дополнительный порт для ирригации • Стабильный уровень давления в трубке • Полоса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Rn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-контроля по всей длине • Оптимальная зона перфорации – 75 мм • Канюля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ирригационном канале • Универсальный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• Цветовая кодировка адаптера. Возрастающий диаметр дренирующих отверстий. Размеры: 18/24/30 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дана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250,00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4 100,00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1 025 000,00   </w:t>
            </w:r>
          </w:p>
        </w:tc>
      </w:tr>
      <w:tr w:rsidR="00315349" w:rsidRPr="00F32B0E" w:rsidTr="0031534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Pr="00F32B0E" w:rsidRDefault="00315349" w:rsidP="00315349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Дренаж типа "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Редон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" с адаптером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Дренаж типа «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Редон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» (адаптер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) используется в хирургии и травматологии для пассивного и активного дренирования полостей и послеоперационных ран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−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зготовлено из прозрачного термопластичного нетоксичного поливинилхлорида; − длина 500 мм; −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конце; − открытый дистальный конец; − перфорация дистального конца на 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протяжении 75 мм; −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рентгеноконтрастная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полоса вдоль трубки;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Дв</w:t>
            </w:r>
            <w:r w:rsidR="00DB6CA5"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t>строенная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двухканальная трубка для ирригации раневого поля− стерилизовано оксидом этилена. Гофрированная полоса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повышенной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капилярности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размером 10 мм длина 10 0 мм Диаметр 5,0;4,0;3,0 Размер 15,12,9 ,24,30Длина 500 мм.  Размеры: 9/15/18/24/30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lastRenderedPageBreak/>
              <w:t>дана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550,00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3 650,00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2 007 500,00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Pr="00F32B0E" w:rsidRDefault="00315349" w:rsidP="00315349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Дренаж типа "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Редон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" с портом для ирригации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Дренаж типа «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Редон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» с портом для ирригации используется в хирургии и травматологии для пассивного и активного дренирования и промывания полостей и послеоперационных ран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−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зготовлено из прозрачного термопластичного нетоксичного поливинилхлорида; − двухканальная трубка; − длина 500 мм; −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 основного канала; − канюля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 порта для ирригации; − открытый дистальный конец; − перфорация дистального конца на протяжении 75 мм; −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рентгеноконтрастная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полоса вдоль трубки; − стерилизовано оксидом этилена. Диаметр 8,0 Размер 24 Длина 500.  Размеры: 18/24/30 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300,00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3 950,00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1 185 000,00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Pr="00F32B0E" w:rsidRDefault="00315349" w:rsidP="00315349">
            <w:pPr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Дренаж типа "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Ульмера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" с металлическим троакаром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DB6CA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Этот тип дренажа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Ульмера</w:t>
            </w:r>
            <w:proofErr w:type="spellEnd"/>
            <w:r w:rsidR="00DB6CA5">
              <w:rPr>
                <w:rFonts w:cs="Times New Roman"/>
                <w:color w:val="000000"/>
                <w:sz w:val="20"/>
                <w:szCs w:val="20"/>
              </w:rPr>
              <w:t xml:space="preserve"> должен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обеспечиват</w:t>
            </w:r>
            <w:r w:rsidR="00DB6CA5"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равномерную эвакуацию раневого отделяемого с одновременной возможностью введения лекарственных или антисептических средств непосредственно в зону дренирования. • Дополнительный порт для ирригации • Стабильный уровень давления в трубке • Полоса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Rn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-контроля по всей длине • Оптимальная зона перфорации – 75 мм • Канюля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ирригационном канале • Универсальный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• Цветовая кодировка адаптера. Возрастающий диаметр дренирующих отверстий. Металлический троакар с трехгранной заточкой и углом изгиба 30 градусов. Троакар длиной не менее 200 мм и изготовлен из медицинской стали.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200,00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15 200,00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3 040 000,00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Pr="00371581" w:rsidRDefault="00315349" w:rsidP="0031534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Дренаж Шлицевой с портом для ирригации</w:t>
            </w:r>
            <w:proofErr w:type="gramEnd"/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шлицевой с дополнительным портом для ирригации позволяет производить промывание гнойной раны или полости одновременно с дренированием экссудата. Удлиненные отверстия шлицевого дренажа способствуют лучшему оттоку жидкости. • Полоса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Rn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-контроля по всей длине • Перфорация в виде удлиненных отверстий • Зона перфорации – 100 мм • Длина дренажа – 500 мм • Дополнительный двухканальный порт для ирригации длиной не менее 200 мм с заглушкой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• Универсальный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• Цветовая кодировка адаптера.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4 650,00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46 500,00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Шлицевой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с металлическим троакаром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шлицевой с дополнительным портом для ирригации позволяет производить промывание гнойной раны или полости одновременно с дренированием экссудата. Удлиненные отверстия шлицевого дренажа способствуют лучшему оттоку жидкости. • Полоса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Rn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-контроля по всей длине • Перфорация в виде удлиненных отверстий не менее 6 мм• Зона перфорации – 100 мм • Длина дренажа – 500 мм • Дополнительный порт для ирригации • Универсальный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• Цветовая кодировка адаптера. Металлический троакар с трехгранной заточкой и углом изгиба 30 градусов. Троакар длиной не менее 200 мм и </w:t>
            </w:r>
            <w:proofErr w:type="spellStart"/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зготовлен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из медицинской стали.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дана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250,00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15 200,00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3 800 000,00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профильный </w:t>
            </w:r>
            <w:r w:rsidR="00DB6CA5">
              <w:rPr>
                <w:rFonts w:cs="Times New Roman"/>
                <w:color w:val="000000"/>
                <w:sz w:val="20"/>
                <w:szCs w:val="20"/>
              </w:rPr>
              <w:t xml:space="preserve">типа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Слабинского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(Блейка)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профильный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Слабинского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Блэйка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) используется в хирургии и травматологии для пассивного и активного дренирования рани полостей. Открытость четырех каналов на дистальном конце препятствует обтюрации их просветов сгустками крови и раневым содержимым. Трубчатый центральный канал позволяет вводить растворы медикаментов в зону дренирования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−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зготовлено из прозрачного термопластичного нетоксичного поливинилхлорида; − пятиканальная трубка; − длина 500 мм; −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конце; − четыре канала продольно вскрыты на протяжении 250 мм от дистального конца; − дополнительный трубчатый центральный канал; −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рентгеноконтрастная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полоса вдоль трубки; − стерилизовано оксидом этилена. Диаметр 3,0;4,0;5,0;6,0 Размер 9,12,15,18 Длина 500.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200,00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5 840,00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1 168 000,00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Pr="00347952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профильный </w:t>
            </w:r>
            <w:r w:rsidR="00DB6CA5">
              <w:rPr>
                <w:rFonts w:cs="Times New Roman"/>
                <w:color w:val="000000"/>
                <w:sz w:val="20"/>
                <w:szCs w:val="20"/>
              </w:rPr>
              <w:t xml:space="preserve">типа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Слабинского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(Блейка) с портом для ирригации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DB6CA5" w:rsidP="00DB6CA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профильный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Слабинского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(Блейка) с портом для ирригации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должен </w:t>
            </w:r>
            <w:r w:rsidR="00315349" w:rsidRPr="00315349">
              <w:rPr>
                <w:rFonts w:cs="Times New Roman"/>
                <w:color w:val="000000"/>
                <w:sz w:val="20"/>
                <w:szCs w:val="20"/>
              </w:rPr>
              <w:t xml:space="preserve">совмещать интенсивный процесс аспирации раневого содержимого с лечебными и обеззараживающими процедурами в самом очаге воспаления. Этот тип дренажа идеально приспособлен для удобного введения лекарственных и антисептических средств непосредственно в зону дренирования через центральный канал. • Уникальная пятиканальная трубка • Дополнительный центральный канал с портом для ирригации • Полоса </w:t>
            </w:r>
            <w:proofErr w:type="spellStart"/>
            <w:r w:rsidR="00315349" w:rsidRPr="00315349">
              <w:rPr>
                <w:rFonts w:cs="Times New Roman"/>
                <w:color w:val="000000"/>
                <w:sz w:val="20"/>
                <w:szCs w:val="20"/>
              </w:rPr>
              <w:t>Rn</w:t>
            </w:r>
            <w:proofErr w:type="spellEnd"/>
            <w:r w:rsidR="00315349" w:rsidRPr="00315349">
              <w:rPr>
                <w:rFonts w:cs="Times New Roman"/>
                <w:color w:val="000000"/>
                <w:sz w:val="20"/>
                <w:szCs w:val="20"/>
              </w:rPr>
              <w:t xml:space="preserve">-контраста по всей длине • Увеличенная зона перфорации – 250 мм • Высокая стойкость к изломам и перегибам • Канюля </w:t>
            </w:r>
            <w:proofErr w:type="spellStart"/>
            <w:r w:rsidR="00315349"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="00315349"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ирригационном канале • Универсальный адаптер </w:t>
            </w:r>
            <w:proofErr w:type="spellStart"/>
            <w:r w:rsidR="00315349"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="00315349" w:rsidRPr="00315349">
              <w:rPr>
                <w:rFonts w:cs="Times New Roman"/>
                <w:color w:val="000000"/>
                <w:sz w:val="20"/>
                <w:szCs w:val="20"/>
              </w:rPr>
              <w:t xml:space="preserve"> • Кодировка адаптера по стандарту ISO.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6 750,00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337 500,00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Хиба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заточка "карандаш"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Специальная заточка "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Back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Bevel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мандрен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из нержавеющей стали, Канюля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конце, широкий выбор диаметров, три варианта длины.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6 250,00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125 000,00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Зонд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инбационный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для дренирования тонкого кишечника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ЗОНД ИНТУБАЦИОННЫЙ ДЛЯ ДРЕНИРОАНИЯ ТОНКОГО КИШЕЧНИК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зонд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Шалькова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трансназальный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) с дополнительным каналом для ирригации Зонд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интубационный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с дополнительным каналом для ирригации используется в хирургии брюшной полости для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трансназального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дренирования и орошения тонкого кишечника по методу Миллера-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Эббота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. Зонд вводится в кишечник во время операции и используется для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интероперацийнной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и продолженной декомпенсации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зготовлено из прозрачного термопластичного нетоксичного полимера; - длина 2500, 3000, 3500 мм; - трехканальная трубка; - дополнительный канал для ирригации; - закрытый дистальный конец закругленной формы; - перфорация дистального конца на протяжении 105 мм; - два надувных баллона в зоне перфорации; -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конце; - канюли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проксимальных концах каналов для ирригации и надувания баллонов; - стерилизовано оксидом этилена.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25 800,00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77 400,00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Зонд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интубационный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для дренирования толстого кишечника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ЗОНД ИНТУБАЦИОННЫЙ ДЛЯ ДРЕНИРОВАНИЯ КИШЕЧНИК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зонд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Шалькова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)(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трансректальный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) Зонд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интубационный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трансректальный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используется в хирургии брюшной полости для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трансректального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дренирования кишечника по методу Миллера-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Эббота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. Зонд вводится в кишечник во время операции и используется для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интероперацийнной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и продолженной декомпенсации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зготовлено из прозрачного термопластичного нетоксичного полимера; - длина 2500 мм; - диаметр F 24 (8мм); - двухканальная трубка; - закрытый дистальный конец закругленной формы; - перфорация дистального конца на протяжении 105 мм; - два надувных баллона в зоне перфорации; -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конце; - канюля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 канала для надувания баллонов; - стерилизовано оксидом этилена.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15,00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25 800,00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387 000,00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Зонд пищеводный типа "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Блекмор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Зонд пищеводный типа «Блэкмор» используется в хирургии и гастроэнтерологии для остановки кровотечения из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варикозно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расширенных вен пищевода и желудка, особенно в экстренных случаях, когда использование других методов остановки крови 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lastRenderedPageBreak/>
              <w:t>невозможно или неэффективно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зготовлено из прозрачного термопластичного нетоксичного полимера; - длина 1000 мм; - трехканальная трубка; - закрытый дистальный конец закругленной формы; - круглый латексный надувной желудочный баллон; - цилиндрический латексный надувной пищеводный баллон; - перфорация дистального конца до круглого надувного желудочного баллона; -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 основного канала; - канюли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с контрольными баллончиками на проксимальном конце каналов для надувания баллонов; - стерилизовано оксидом этилена. Диаметр 6.6 Размер 20 Объем баллона: желудочный 50 мл, пищеводный 110 Длина 1000.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lastRenderedPageBreak/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17 500,00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52 500,00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Дилататор пищевода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Баллонная дилатация – метод устранения сужений желудочно-кишечного тракта путем их растяжения специальным баллоном, раздувающимся внутри просвета стриктуры. Преимуществом баллонной дилатации является равномерное воздействие на всем протяжении стриктуры и практическое отсутствие осевой нагрузки на ткани. • Двухканальная полимерная трубка длиной 800 мм • Удлиненный конусный кончик • Тросовый проводник длиной 1500 мм • Раздувной баллон цилиндрической формы •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Рентгеноконтрастные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метки для определения положения баллона • Канюля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для раздува баллона • Удобный держатель на проксимальном конце.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>ана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15,00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31 000,00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465 000,00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Дренаж торакальный, 45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торакальный предназначен для активного и пассивного дренирования плевральной полости с целью выведения избытков крови, продуктов секреции или избыточного воздуха. • Прозрачная эластичная ПВХ трубка • Открытый проксимальный конец • Дренирующие отверстия расположены по спирали •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Рентгеноконтрастная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полоса по всей длине •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 • Метки для определения глубины ввода • Абсолютная стерильность. Изгиб дренажа 45 градусов. Наличие дополнительного двухканального порта с заглушкой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дана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7 920,00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316 800,00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>Дренаж торакальный, 90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торакальный предназначен для активного и пассивного дренирования плевральной полости с целью выведения избытков крови, продуктов секреции или избыточного воздуха. • Прозрачная эластичная ПВХ трубка • Открытый проксимальный конец • Дренирующие отверстия расположены по спирали •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Рентгеноконтрастная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полоса по всей длине •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конце • Метки для определения глубины ввода • Абсолютная стерильность. Изгиб дренажа 90 градусов. Наличие дополнительного двухканального порта с заглушкой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lastRenderedPageBreak/>
              <w:t>дана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7 920,00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316 800,00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- зонд торакальный на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металлическом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стиллете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для плевральной полости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Зонд-дренаж плевральной полости значительно дольше сохраняет свои дренирующие свойства в сравнении с обычными торакальными дренажами. Он состоит из двух трубок разной длины и диаметра, что позволяет продолжить дренирование после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большей трубки, введя в ее просвет более тонкую и длинную трубку. • Комплект из двух прозрачных трубок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• С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пециально подобранные размеры дренажных трубок • Эффективные дренирующие отверстия •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Рентгеноконтрастная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полоса на каждой трубке • Коннектор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 • Абсолютная стерильность.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Металлический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стиллет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из медицинской стали трехгранной заточки. Порт для ирригации </w:t>
            </w: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длинна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не менее 200 мм. Заглушка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Люэра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дана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9 420,00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282 600,00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Default="00315349" w:rsidP="0031534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Удлинитель дренажа по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Бюллау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Эластичная ПВХ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трубка </w:t>
            </w:r>
            <w:proofErr w:type="spellStart"/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трубка</w:t>
            </w:r>
            <w:proofErr w:type="spellEnd"/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длиной 1000 мм.  Латексный лепестковый клапан на дистальном конце. Коннектор-переходник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конце. Стерильный. Обязательное наличие гофрированной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рентгенконтрастной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полосы повышенной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капилярности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размер 10*100 мм. 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дана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11 987,00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239 740,00   </w:t>
            </w:r>
          </w:p>
        </w:tc>
      </w:tr>
      <w:tr w:rsidR="00315349" w:rsidRPr="00F32B0E" w:rsidTr="0031534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Дренаж для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вэнэктомии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Этот дренаж </w:t>
            </w:r>
            <w:r>
              <w:rPr>
                <w:rFonts w:cs="Times New Roman"/>
                <w:color w:val="000000"/>
                <w:sz w:val="20"/>
                <w:szCs w:val="20"/>
              </w:rPr>
              <w:t>должен</w:t>
            </w: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подходит для дренирования раневого канала после проведения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венэктомии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. Большая длина перфорированного участка дренажа и конфигурация дренирующих отверстий способствуют эффективному оттоку жидкости и скорейшему заживлению раны. •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биоинертная трубка • Зона перфорации 400 мм. • Отверстия для крепления к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венэкстрактору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дистальном конце •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Рентгеноконтрастная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полоса по всей длине • Адаптер </w:t>
            </w:r>
            <w:proofErr w:type="spellStart"/>
            <w:r w:rsidRPr="00315349">
              <w:rPr>
                <w:rFonts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на проксимальном конце.  Размеры по заявке Заказчика.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15349">
              <w:rPr>
                <w:rFonts w:cs="Times New Roman"/>
                <w:color w:val="000000"/>
                <w:sz w:val="20"/>
                <w:szCs w:val="20"/>
              </w:rPr>
              <w:t>дана</w:t>
            </w:r>
            <w:proofErr w:type="gramEnd"/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/штук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    5 750,00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349" w:rsidRPr="00315349" w:rsidRDefault="00315349" w:rsidP="003153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15349">
              <w:rPr>
                <w:rFonts w:cs="Times New Roman"/>
                <w:color w:val="000000"/>
                <w:sz w:val="20"/>
                <w:szCs w:val="20"/>
              </w:rPr>
              <w:t xml:space="preserve">172 500,00   </w:t>
            </w:r>
          </w:p>
        </w:tc>
      </w:tr>
    </w:tbl>
    <w:p w:rsidR="007A01F1" w:rsidRPr="00F32B0E" w:rsidRDefault="007A01F1" w:rsidP="00D23A74">
      <w:pPr>
        <w:jc w:val="both"/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F32B0E" w:rsidTr="00CB0271">
        <w:tc>
          <w:tcPr>
            <w:tcW w:w="4927" w:type="dxa"/>
          </w:tcPr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DB6CA5" w:rsidRPr="00DB6CA5">
              <w:rPr>
                <w:sz w:val="20"/>
                <w:szCs w:val="20"/>
              </w:rPr>
              <w:t xml:space="preserve">15 044 840,00 (он бес миллион </w:t>
            </w:r>
            <w:proofErr w:type="spellStart"/>
            <w:r w:rsidR="00DB6CA5" w:rsidRPr="00DB6CA5">
              <w:rPr>
                <w:sz w:val="20"/>
                <w:szCs w:val="20"/>
              </w:rPr>
              <w:t>қырық</w:t>
            </w:r>
            <w:proofErr w:type="spellEnd"/>
            <w:r w:rsidR="00DB6CA5" w:rsidRPr="00DB6CA5">
              <w:rPr>
                <w:sz w:val="20"/>
                <w:szCs w:val="20"/>
              </w:rPr>
              <w:t xml:space="preserve"> </w:t>
            </w:r>
            <w:proofErr w:type="spellStart"/>
            <w:r w:rsidR="00DB6CA5" w:rsidRPr="00DB6CA5">
              <w:rPr>
                <w:sz w:val="20"/>
                <w:szCs w:val="20"/>
              </w:rPr>
              <w:t>төрт</w:t>
            </w:r>
            <w:proofErr w:type="spellEnd"/>
            <w:r w:rsidR="00DB6CA5" w:rsidRPr="00DB6CA5">
              <w:rPr>
                <w:sz w:val="20"/>
                <w:szCs w:val="20"/>
              </w:rPr>
              <w:t xml:space="preserve"> </w:t>
            </w:r>
            <w:proofErr w:type="spellStart"/>
            <w:r w:rsidR="00DB6CA5" w:rsidRPr="00DB6CA5">
              <w:rPr>
                <w:sz w:val="20"/>
                <w:szCs w:val="20"/>
              </w:rPr>
              <w:t>мың</w:t>
            </w:r>
            <w:proofErr w:type="spellEnd"/>
            <w:r w:rsidR="00DB6CA5" w:rsidRPr="00DB6CA5">
              <w:rPr>
                <w:sz w:val="20"/>
                <w:szCs w:val="20"/>
              </w:rPr>
              <w:t xml:space="preserve"> </w:t>
            </w:r>
            <w:proofErr w:type="spellStart"/>
            <w:r w:rsidR="00DB6CA5" w:rsidRPr="00DB6CA5">
              <w:rPr>
                <w:sz w:val="20"/>
                <w:szCs w:val="20"/>
              </w:rPr>
              <w:t>сегіз</w:t>
            </w:r>
            <w:proofErr w:type="spellEnd"/>
            <w:r w:rsidR="00DB6CA5" w:rsidRPr="00DB6CA5">
              <w:rPr>
                <w:sz w:val="20"/>
                <w:szCs w:val="20"/>
              </w:rPr>
              <w:t xml:space="preserve"> </w:t>
            </w:r>
            <w:proofErr w:type="spellStart"/>
            <w:r w:rsidR="00DB6CA5" w:rsidRPr="00DB6CA5">
              <w:rPr>
                <w:sz w:val="20"/>
                <w:szCs w:val="20"/>
              </w:rPr>
              <w:t>жүз</w:t>
            </w:r>
            <w:proofErr w:type="spellEnd"/>
            <w:r w:rsidR="00DB6CA5" w:rsidRPr="00DB6CA5">
              <w:rPr>
                <w:sz w:val="20"/>
                <w:szCs w:val="20"/>
              </w:rPr>
              <w:t xml:space="preserve"> </w:t>
            </w:r>
            <w:proofErr w:type="spellStart"/>
            <w:r w:rsidR="00DB6CA5" w:rsidRPr="00DB6CA5">
              <w:rPr>
                <w:sz w:val="20"/>
                <w:szCs w:val="20"/>
              </w:rPr>
              <w:t>қырық</w:t>
            </w:r>
            <w:proofErr w:type="spellEnd"/>
            <w:r w:rsidR="00DB6CA5" w:rsidRPr="00DB6CA5">
              <w:rPr>
                <w:sz w:val="20"/>
                <w:szCs w:val="20"/>
              </w:rPr>
              <w:t xml:space="preserve">) </w:t>
            </w:r>
            <w:proofErr w:type="spellStart"/>
            <w:r w:rsidR="00DB6CA5" w:rsidRPr="00DB6CA5">
              <w:rPr>
                <w:sz w:val="20"/>
                <w:szCs w:val="20"/>
              </w:rPr>
              <w:t>теңге</w:t>
            </w:r>
            <w:proofErr w:type="spellEnd"/>
            <w:r w:rsidR="00DB6CA5" w:rsidRPr="00DB6CA5">
              <w:rPr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F32B0E">
              <w:rPr>
                <w:rFonts w:cs="Times New Roman"/>
                <w:sz w:val="20"/>
                <w:szCs w:val="20"/>
              </w:rPr>
              <w:t xml:space="preserve">: </w:t>
            </w:r>
            <w:r w:rsidR="00DB6CA5">
              <w:rPr>
                <w:rFonts w:cs="Times New Roman"/>
                <w:sz w:val="20"/>
                <w:szCs w:val="20"/>
              </w:rPr>
              <w:t>10</w:t>
            </w:r>
            <w:r w:rsidR="00A33AE9" w:rsidRPr="00F32B0E">
              <w:rPr>
                <w:rFonts w:cs="Times New Roman"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8134E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062C0A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DB6CA5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: </w:t>
            </w:r>
            <w:r w:rsidRPr="00F32B0E">
              <w:rPr>
                <w:rFonts w:cs="Times New Roman"/>
                <w:sz w:val="20"/>
                <w:szCs w:val="20"/>
              </w:rPr>
              <w:lastRenderedPageBreak/>
              <w:t xml:space="preserve">Алматы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F32B0E">
              <w:rPr>
                <w:rFonts w:cs="Times New Roman"/>
                <w:sz w:val="20"/>
                <w:szCs w:val="20"/>
              </w:rPr>
              <w:t>Е</w:t>
            </w:r>
            <w:r w:rsidRPr="00F32B0E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F32B0E">
              <w:rPr>
                <w:rFonts w:cs="Times New Roman"/>
                <w:sz w:val="20"/>
                <w:szCs w:val="20"/>
              </w:rPr>
              <w:t>141</w:t>
            </w:r>
            <w:r w:rsidRPr="00F32B0E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lastRenderedPageBreak/>
              <w:t>саласындағы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F32B0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F32B0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F32B0E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F32B0E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062C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r w:rsidR="00DB6CA5">
              <w:rPr>
                <w:sz w:val="20"/>
                <w:szCs w:val="20"/>
              </w:rPr>
              <w:t>15 044 840</w:t>
            </w:r>
            <w:r w:rsidR="00062C0A" w:rsidRPr="00062C0A">
              <w:rPr>
                <w:sz w:val="20"/>
                <w:szCs w:val="20"/>
              </w:rPr>
              <w:t>,</w:t>
            </w:r>
            <w:r w:rsidR="003B588D" w:rsidRPr="00062C0A">
              <w:rPr>
                <w:sz w:val="20"/>
                <w:szCs w:val="20"/>
              </w:rPr>
              <w:t>0</w:t>
            </w:r>
            <w:r w:rsidR="000B7F2C" w:rsidRPr="00062C0A">
              <w:rPr>
                <w:sz w:val="20"/>
                <w:szCs w:val="20"/>
              </w:rPr>
              <w:t>0</w:t>
            </w:r>
            <w:r w:rsidR="0078134E" w:rsidRPr="00062C0A">
              <w:rPr>
                <w:sz w:val="20"/>
                <w:szCs w:val="20"/>
              </w:rPr>
              <w:t xml:space="preserve"> </w:t>
            </w:r>
            <w:r w:rsidRPr="00062C0A">
              <w:rPr>
                <w:sz w:val="20"/>
                <w:szCs w:val="20"/>
              </w:rPr>
              <w:t>(</w:t>
            </w:r>
            <w:r w:rsidR="00DB6CA5">
              <w:rPr>
                <w:sz w:val="20"/>
                <w:szCs w:val="20"/>
              </w:rPr>
              <w:t>пятнадцать миллионов сорок четыре тысячи восемьсот сорок</w:t>
            </w:r>
            <w:r w:rsidRPr="00062C0A">
              <w:rPr>
                <w:sz w:val="20"/>
                <w:szCs w:val="20"/>
              </w:rPr>
              <w:t>) тенге</w:t>
            </w:r>
            <w:r w:rsidRPr="00062C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F32B0E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F32B0E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F32B0E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F32B0E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F32B0E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F32B0E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3B588D" w:rsidRPr="00F32B0E">
              <w:rPr>
                <w:rFonts w:cs="Times New Roman"/>
                <w:sz w:val="20"/>
                <w:szCs w:val="20"/>
              </w:rPr>
              <w:t>0</w:t>
            </w:r>
            <w:r w:rsidR="007578DB" w:rsidRPr="00F32B0E">
              <w:rPr>
                <w:rFonts w:cs="Times New Roman"/>
                <w:sz w:val="20"/>
                <w:szCs w:val="20"/>
              </w:rPr>
              <w:t>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DB6CA5">
              <w:rPr>
                <w:rFonts w:cs="Times New Roman"/>
                <w:sz w:val="20"/>
                <w:szCs w:val="20"/>
              </w:rPr>
              <w:t>10</w:t>
            </w:r>
            <w:r w:rsidRPr="00F32B0E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F32B0E">
              <w:rPr>
                <w:rFonts w:cs="Times New Roman"/>
                <w:sz w:val="20"/>
                <w:szCs w:val="20"/>
              </w:rPr>
              <w:t xml:space="preserve">: дата </w:t>
            </w:r>
            <w:r w:rsidR="007578DB" w:rsidRPr="00F32B0E">
              <w:rPr>
                <w:rFonts w:cs="Times New Roman"/>
                <w:sz w:val="20"/>
                <w:szCs w:val="20"/>
              </w:rPr>
              <w:t>03</w:t>
            </w:r>
            <w:r w:rsidRPr="00F32B0E">
              <w:rPr>
                <w:rFonts w:cs="Times New Roman"/>
                <w:sz w:val="20"/>
                <w:szCs w:val="20"/>
              </w:rPr>
              <w:t>.</w:t>
            </w:r>
            <w:r w:rsidR="007578DB" w:rsidRPr="00F32B0E">
              <w:rPr>
                <w:rFonts w:cs="Times New Roman"/>
                <w:sz w:val="20"/>
                <w:szCs w:val="20"/>
              </w:rPr>
              <w:t>04</w:t>
            </w:r>
            <w:r w:rsidRPr="00F32B0E">
              <w:rPr>
                <w:rFonts w:cs="Times New Roman"/>
                <w:sz w:val="20"/>
                <w:szCs w:val="20"/>
              </w:rPr>
              <w:t>.202</w:t>
            </w:r>
            <w:r w:rsidR="00A33AE9" w:rsidRPr="00F32B0E">
              <w:rPr>
                <w:rFonts w:cs="Times New Roman"/>
                <w:sz w:val="20"/>
                <w:szCs w:val="20"/>
              </w:rPr>
              <w:t>3</w:t>
            </w:r>
            <w:r w:rsidRPr="00F32B0E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062C0A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F32B0E">
              <w:rPr>
                <w:rFonts w:cs="Times New Roman"/>
                <w:sz w:val="20"/>
                <w:szCs w:val="20"/>
              </w:rPr>
              <w:t>:</w:t>
            </w:r>
            <w:r w:rsidR="00DB6CA5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F32B0E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F32B0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F32B0E">
              <w:rPr>
                <w:rFonts w:cs="Times New Roman"/>
                <w:sz w:val="20"/>
                <w:szCs w:val="20"/>
              </w:rPr>
              <w:t xml:space="preserve">, 51, кабинет </w:t>
            </w:r>
            <w:r w:rsidRPr="00F32B0E">
              <w:rPr>
                <w:rFonts w:cs="Times New Roman"/>
                <w:sz w:val="20"/>
                <w:szCs w:val="20"/>
              </w:rPr>
              <w:lastRenderedPageBreak/>
              <w:t>201.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F32B0E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F32B0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32B0E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F32B0E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F32B0E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F32B0E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F32B0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B0E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F32B0E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</w:t>
            </w:r>
            <w:r w:rsidRPr="00F32B0E">
              <w:rPr>
                <w:color w:val="000000"/>
                <w:sz w:val="20"/>
                <w:szCs w:val="20"/>
              </w:rPr>
              <w:lastRenderedPageBreak/>
              <w:t>государственных органов.</w:t>
            </w:r>
            <w:proofErr w:type="gramEnd"/>
            <w:r w:rsidRPr="00F32B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2B0E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F32B0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32B0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F32B0E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F32B0E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F32B0E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F32B0E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F32B0E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F32B0E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F32B0E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F32B0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F32B0E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F32B0E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F32B0E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F32B0E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F32B0E" w:rsidRDefault="00E4253F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p w:rsidR="007F579C" w:rsidRPr="00F32B0E" w:rsidRDefault="007F579C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F32B0E" w:rsidTr="00F65F58">
        <w:tc>
          <w:tcPr>
            <w:tcW w:w="3085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алу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бө</w:t>
            </w:r>
            <w:proofErr w:type="gramStart"/>
            <w:r w:rsidRPr="00F32B0E">
              <w:rPr>
                <w:rFonts w:ascii="Times New Roman" w:hAnsi="Times New Roman"/>
                <w:b/>
              </w:rPr>
              <w:t>л</w:t>
            </w:r>
            <w:proofErr w:type="gramEnd"/>
            <w:r w:rsidRPr="00F32B0E">
              <w:rPr>
                <w:rFonts w:ascii="Times New Roman" w:hAnsi="Times New Roman"/>
                <w:b/>
              </w:rPr>
              <w:t>ім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2B0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F32B0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F32B0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F32B0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F32B0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F32B0E" w:rsidRDefault="0080080F" w:rsidP="0048597F">
      <w:pPr>
        <w:rPr>
          <w:rFonts w:cs="Times New Roman"/>
          <w:sz w:val="20"/>
          <w:szCs w:val="20"/>
        </w:rPr>
      </w:pPr>
      <w:r w:rsidRPr="00F32B0E">
        <w:rPr>
          <w:rFonts w:cs="Times New Roman"/>
          <w:i/>
          <w:sz w:val="20"/>
          <w:szCs w:val="20"/>
        </w:rPr>
        <w:t>8-727-278-04-44</w:t>
      </w:r>
      <w:bookmarkEnd w:id="0"/>
    </w:p>
    <w:sectPr w:rsidR="0086053E" w:rsidRPr="00F32B0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47CB"/>
    <w:rsid w:val="00340217"/>
    <w:rsid w:val="003469CF"/>
    <w:rsid w:val="00347952"/>
    <w:rsid w:val="003556EC"/>
    <w:rsid w:val="00371581"/>
    <w:rsid w:val="003B588D"/>
    <w:rsid w:val="003C20FD"/>
    <w:rsid w:val="003D3A04"/>
    <w:rsid w:val="003F4CF1"/>
    <w:rsid w:val="0040414C"/>
    <w:rsid w:val="00410D0B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443E2"/>
    <w:rsid w:val="00553C3C"/>
    <w:rsid w:val="00562323"/>
    <w:rsid w:val="005668AD"/>
    <w:rsid w:val="005673FF"/>
    <w:rsid w:val="0058073F"/>
    <w:rsid w:val="005973CB"/>
    <w:rsid w:val="005A3BA9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7F579C"/>
    <w:rsid w:val="0080080F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B3F3-2E04-446C-9D80-200C97C1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8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191</cp:revision>
  <cp:lastPrinted>2023-03-27T06:56:00Z</cp:lastPrinted>
  <dcterms:created xsi:type="dcterms:W3CDTF">2019-01-15T05:22:00Z</dcterms:created>
  <dcterms:modified xsi:type="dcterms:W3CDTF">2023-03-27T06:56:00Z</dcterms:modified>
</cp:coreProperties>
</file>