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5F1882" w:rsidTr="007A01F1">
        <w:tc>
          <w:tcPr>
            <w:tcW w:w="4927" w:type="dxa"/>
          </w:tcPr>
          <w:p w:rsidR="007A01F1" w:rsidRPr="005F188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1882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5F1882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73AC4" w:rsidRPr="00F73AC4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қайта</w:t>
            </w:r>
            <w:r w:rsidR="00F73AC4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5F1882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5F188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882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5F188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3B588D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3B588D">
              <w:rPr>
                <w:rFonts w:ascii="Times New Roman" w:hAnsi="Times New Roman"/>
                <w:sz w:val="20"/>
                <w:szCs w:val="20"/>
                <w:lang w:val="kk-KZ"/>
              </w:rPr>
              <w:t>наурыз</w:t>
            </w:r>
            <w:r w:rsidR="00A33AE9" w:rsidRPr="005F1882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5F188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5F1882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5F18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»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5F18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5F1882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882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5F1882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5F188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F1882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5F1882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5F188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5F188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1882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5F1882" w:rsidRDefault="00F73AC4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3AC4">
              <w:rPr>
                <w:rFonts w:cs="Times New Roman"/>
                <w:b/>
                <w:sz w:val="20"/>
                <w:szCs w:val="20"/>
                <w:u w:val="single"/>
                <w:lang w:val="kk-KZ"/>
              </w:rPr>
              <w:t>Повторного</w:t>
            </w:r>
            <w:r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="007A01F1" w:rsidRPr="005F1882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5F1882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5F188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13</w:t>
            </w:r>
            <w:r w:rsidRPr="005F1882">
              <w:rPr>
                <w:rFonts w:cs="Times New Roman"/>
                <w:sz w:val="20"/>
                <w:szCs w:val="20"/>
              </w:rPr>
              <w:t xml:space="preserve">» 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марта</w:t>
            </w:r>
            <w:r w:rsidRPr="005F1882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5F1882">
              <w:rPr>
                <w:rFonts w:cs="Times New Roman"/>
                <w:sz w:val="20"/>
                <w:szCs w:val="20"/>
              </w:rPr>
              <w:t>3</w:t>
            </w:r>
            <w:r w:rsidRPr="005F1882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5F1882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5F1882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5F1882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5F1882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5F1882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5F1882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5F1882">
              <w:rPr>
                <w:rStyle w:val="s1"/>
                <w:sz w:val="20"/>
                <w:szCs w:val="20"/>
              </w:rPr>
              <w:t>«</w:t>
            </w:r>
            <w:r w:rsidR="005F1882" w:rsidRPr="005F1882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5F1882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5F1882">
              <w:rPr>
                <w:rStyle w:val="s1"/>
                <w:sz w:val="20"/>
                <w:szCs w:val="20"/>
              </w:rPr>
              <w:t>»</w:t>
            </w:r>
            <w:r w:rsidRPr="005F1882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5F188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5F188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5F188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5F1882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5F1882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5F1882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5F1882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5F188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5F1882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5F1882" w:rsidTr="005F1882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5F1882" w:rsidRDefault="00BB65E1" w:rsidP="005F1882">
            <w:pPr>
              <w:rPr>
                <w:rFonts w:cs="Times New Roman"/>
                <w:b/>
                <w:sz w:val="20"/>
                <w:szCs w:val="20"/>
              </w:rPr>
            </w:pPr>
            <w:r w:rsidRPr="005F1882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5F1882" w:rsidRDefault="00BB65E1" w:rsidP="005F1882">
            <w:pPr>
              <w:rPr>
                <w:rFonts w:cs="Times New Roman"/>
                <w:b/>
                <w:sz w:val="20"/>
                <w:szCs w:val="20"/>
              </w:rPr>
            </w:pPr>
            <w:r w:rsidRPr="005F1882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5F1882" w:rsidRDefault="00BB65E1" w:rsidP="005F188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5F1882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5F1882" w:rsidRDefault="005F1882" w:rsidP="005F188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5F1882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5F1882" w:rsidRDefault="00BB65E1" w:rsidP="005F188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5F1882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5F1882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5F1882" w:rsidRDefault="00BB65E1" w:rsidP="005F1882">
            <w:pPr>
              <w:rPr>
                <w:rFonts w:cs="Times New Roman"/>
                <w:b/>
                <w:sz w:val="20"/>
                <w:szCs w:val="20"/>
              </w:rPr>
            </w:pPr>
            <w:r w:rsidRPr="005F1882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5F1882" w:rsidRDefault="00BB65E1" w:rsidP="005F1882">
            <w:pPr>
              <w:rPr>
                <w:rFonts w:cs="Times New Roman"/>
                <w:b/>
                <w:sz w:val="20"/>
                <w:szCs w:val="20"/>
              </w:rPr>
            </w:pPr>
            <w:r w:rsidRPr="005F1882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5F1882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5F188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5F1882" w:rsidRDefault="00BB65E1" w:rsidP="005F188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5F1882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5F1882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5F1882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54086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Транексамовая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54086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раствор для инъекций 50 мг/мл, 5 мл № 5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54086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Ампула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54086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1 400,00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54086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362,55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54086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507 570,00</w:t>
            </w:r>
          </w:p>
        </w:tc>
      </w:tr>
      <w:tr w:rsidR="003B588D" w:rsidRPr="005F1882" w:rsidTr="005F1882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эмульсия для </w:t>
            </w:r>
            <w:proofErr w:type="gramStart"/>
            <w:r w:rsidRPr="005F1882">
              <w:rPr>
                <w:rFonts w:cs="Times New Roman"/>
                <w:sz w:val="20"/>
                <w:szCs w:val="20"/>
              </w:rPr>
              <w:t>внутривенных</w:t>
            </w:r>
            <w:proofErr w:type="gram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10% 500,0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Құты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/ 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1 426,55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142 655,00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Комплекс аминокислот для парентерального питания (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аминоплазмаль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Гепа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10%)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(0,1, 500 мл (Аминокислоты для парентерального питания  10% раствор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gramStart"/>
            <w:r w:rsidRPr="005F1882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5F1882">
              <w:rPr>
                <w:rFonts w:cs="Times New Roman"/>
                <w:sz w:val="20"/>
                <w:szCs w:val="20"/>
              </w:rPr>
              <w:t>пециальный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л,общий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азот 15,3 г/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л,Теоретическая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осмолярность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875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мосм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л.Общая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калорийность 1675 кДж/л(400 ккал/л,500 мл))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F1882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5F1882">
              <w:rPr>
                <w:rFonts w:cs="Times New Roman"/>
                <w:sz w:val="20"/>
                <w:szCs w:val="20"/>
              </w:rPr>
              <w:t>өтелке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/бутылка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300,00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2 429,52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5E6FF1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728 856,00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Комплекс аминокислот </w:t>
            </w:r>
            <w:proofErr w:type="gramStart"/>
            <w:r w:rsidRPr="005F1882"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5F1882">
              <w:rPr>
                <w:rFonts w:cs="Times New Roman"/>
                <w:sz w:val="20"/>
                <w:szCs w:val="20"/>
              </w:rPr>
              <w:t>аминоплазмаль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Е)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gramStart"/>
            <w:r w:rsidRPr="005F1882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5F1882">
              <w:rPr>
                <w:rFonts w:cs="Times New Roman"/>
                <w:sz w:val="20"/>
                <w:szCs w:val="20"/>
              </w:rPr>
              <w:t>тандартный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комплекс из 17 аминокислот и электролитов.1000 мл раствора содержат аминокислот 50 г/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л,общий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азот 7,9 г/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л.Теоретическая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осмолярность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588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мОсм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л.Общая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калорийность 835 кДж/л (200 ккал/л) Не </w:t>
            </w:r>
            <w:r w:rsidRPr="005F1882">
              <w:rPr>
                <w:rFonts w:cs="Times New Roman"/>
                <w:sz w:val="20"/>
                <w:szCs w:val="20"/>
              </w:rPr>
              <w:lastRenderedPageBreak/>
              <w:t>содержит сорбитол,ксилол.500 мл)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F1882">
              <w:rPr>
                <w:rFonts w:cs="Times New Roman"/>
                <w:sz w:val="20"/>
                <w:szCs w:val="20"/>
              </w:rPr>
              <w:lastRenderedPageBreak/>
              <w:t>Б</w:t>
            </w:r>
            <w:proofErr w:type="gramEnd"/>
            <w:r w:rsidRPr="005F1882">
              <w:rPr>
                <w:rFonts w:cs="Times New Roman"/>
                <w:sz w:val="20"/>
                <w:szCs w:val="20"/>
              </w:rPr>
              <w:t>өтелке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/бутылка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40,00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1 681,07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67 242,80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G16E)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эмульсия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1000 мл №6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48 313,10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2 415 655,00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Нумета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G19E)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эмульсия для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, 500 мл №6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контейнер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39 114,18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135473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3 911 418,00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Нистатин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таблетки, покрытые оболочкой 500000 </w:t>
            </w:r>
            <w:proofErr w:type="gramStart"/>
            <w:r w:rsidRPr="005F1882">
              <w:rPr>
                <w:rFonts w:cs="Times New Roman"/>
                <w:sz w:val="20"/>
                <w:szCs w:val="20"/>
              </w:rPr>
              <w:t>ЕД</w:t>
            </w:r>
            <w:proofErr w:type="gramEnd"/>
            <w:r w:rsidRPr="005F188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таблетка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4 800,00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15,55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74 640,00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Валганцикловир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таблетки, покрытые оболочкой 450 мг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таблетка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2 400,00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1 043,57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2 504 568,00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таблетки 0,25 мг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таблетка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8,33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716B94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833,00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порошок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лиофилизиро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-ванный для приготовления раствора для инъекций 5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Құты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/ 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355,46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213 276,00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Папаверина гидрохлорид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раствор для инъекций 2% по 2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ампула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2 100,00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42,00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88 200,00</w:t>
            </w:r>
          </w:p>
        </w:tc>
      </w:tr>
      <w:tr w:rsidR="003B588D" w:rsidRPr="005F1882" w:rsidTr="005F1882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B588D" w:rsidRPr="005F1882" w:rsidRDefault="003B588D" w:rsidP="005F1882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Иммуноглобулин против </w:t>
            </w:r>
            <w:proofErr w:type="spellStart"/>
            <w:r w:rsidRPr="005F1882">
              <w:rPr>
                <w:rFonts w:cs="Times New Roman"/>
                <w:sz w:val="20"/>
                <w:szCs w:val="20"/>
              </w:rPr>
              <w:t>цитомегаловируса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 xml:space="preserve"> раствор для в/в 1000 </w:t>
            </w:r>
            <w:proofErr w:type="gramStart"/>
            <w:r w:rsidRPr="005F1882">
              <w:rPr>
                <w:rFonts w:cs="Times New Roman"/>
                <w:sz w:val="20"/>
                <w:szCs w:val="20"/>
              </w:rPr>
              <w:t>ЕД</w:t>
            </w:r>
            <w:proofErr w:type="gramEnd"/>
            <w:r w:rsidRPr="005F1882">
              <w:rPr>
                <w:rFonts w:cs="Times New Roman"/>
                <w:sz w:val="20"/>
                <w:szCs w:val="20"/>
              </w:rPr>
              <w:t xml:space="preserve"> /10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F1882">
              <w:rPr>
                <w:rFonts w:cs="Times New Roman"/>
                <w:sz w:val="20"/>
                <w:szCs w:val="20"/>
              </w:rPr>
              <w:t>Құты</w:t>
            </w:r>
            <w:proofErr w:type="spellEnd"/>
            <w:r w:rsidRPr="005F1882">
              <w:rPr>
                <w:rFonts w:cs="Times New Roman"/>
                <w:sz w:val="20"/>
                <w:szCs w:val="20"/>
              </w:rPr>
              <w:t xml:space="preserve"> / 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60,00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58 632,22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B588D" w:rsidRPr="005F1882" w:rsidRDefault="003B588D" w:rsidP="00CD0799">
            <w:pPr>
              <w:rPr>
                <w:rFonts w:cs="Times New Roman"/>
                <w:sz w:val="20"/>
                <w:szCs w:val="20"/>
              </w:rPr>
            </w:pPr>
            <w:r w:rsidRPr="005F1882">
              <w:rPr>
                <w:rFonts w:cs="Times New Roman"/>
                <w:sz w:val="20"/>
                <w:szCs w:val="20"/>
              </w:rPr>
              <w:t>3 517 933,20</w:t>
            </w:r>
          </w:p>
        </w:tc>
      </w:tr>
    </w:tbl>
    <w:p w:rsidR="007A01F1" w:rsidRPr="005F1882" w:rsidRDefault="007A01F1" w:rsidP="00D23A74">
      <w:pPr>
        <w:jc w:val="both"/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5F1882" w:rsidTr="00CB0271">
        <w:tc>
          <w:tcPr>
            <w:tcW w:w="4927" w:type="dxa"/>
          </w:tcPr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3B588D" w:rsidRPr="003B588D">
              <w:rPr>
                <w:sz w:val="20"/>
                <w:szCs w:val="20"/>
              </w:rPr>
              <w:t xml:space="preserve">14 172 847,00 (он </w:t>
            </w:r>
            <w:proofErr w:type="spellStart"/>
            <w:r w:rsidR="003B588D" w:rsidRPr="003B588D">
              <w:rPr>
                <w:sz w:val="20"/>
                <w:szCs w:val="20"/>
              </w:rPr>
              <w:t>төрт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миллион </w:t>
            </w:r>
            <w:proofErr w:type="spellStart"/>
            <w:r w:rsidR="003B588D" w:rsidRPr="003B588D">
              <w:rPr>
                <w:sz w:val="20"/>
                <w:szCs w:val="20"/>
              </w:rPr>
              <w:t>жүз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</w:t>
            </w:r>
            <w:proofErr w:type="spellStart"/>
            <w:r w:rsidR="003B588D" w:rsidRPr="003B588D">
              <w:rPr>
                <w:sz w:val="20"/>
                <w:szCs w:val="20"/>
              </w:rPr>
              <w:t>жетпі</w:t>
            </w:r>
            <w:proofErr w:type="gramStart"/>
            <w:r w:rsidR="003B588D" w:rsidRPr="003B588D">
              <w:rPr>
                <w:sz w:val="20"/>
                <w:szCs w:val="20"/>
              </w:rPr>
              <w:t>с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</w:t>
            </w:r>
            <w:proofErr w:type="spellStart"/>
            <w:r w:rsidR="003B588D" w:rsidRPr="003B588D">
              <w:rPr>
                <w:sz w:val="20"/>
                <w:szCs w:val="20"/>
              </w:rPr>
              <w:t>ек</w:t>
            </w:r>
            <w:proofErr w:type="gramEnd"/>
            <w:r w:rsidR="003B588D" w:rsidRPr="003B588D">
              <w:rPr>
                <w:sz w:val="20"/>
                <w:szCs w:val="20"/>
              </w:rPr>
              <w:t>і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</w:t>
            </w:r>
            <w:proofErr w:type="spellStart"/>
            <w:r w:rsidR="003B588D" w:rsidRPr="003B588D">
              <w:rPr>
                <w:sz w:val="20"/>
                <w:szCs w:val="20"/>
              </w:rPr>
              <w:t>мың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</w:t>
            </w:r>
            <w:proofErr w:type="spellStart"/>
            <w:r w:rsidR="003B588D" w:rsidRPr="003B588D">
              <w:rPr>
                <w:sz w:val="20"/>
                <w:szCs w:val="20"/>
              </w:rPr>
              <w:t>сегіз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</w:t>
            </w:r>
            <w:proofErr w:type="spellStart"/>
            <w:r w:rsidR="003B588D" w:rsidRPr="003B588D">
              <w:rPr>
                <w:sz w:val="20"/>
                <w:szCs w:val="20"/>
              </w:rPr>
              <w:t>жүз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</w:t>
            </w:r>
            <w:proofErr w:type="spellStart"/>
            <w:r w:rsidR="003B588D" w:rsidRPr="003B588D">
              <w:rPr>
                <w:sz w:val="20"/>
                <w:szCs w:val="20"/>
              </w:rPr>
              <w:t>қырық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 </w:t>
            </w:r>
            <w:proofErr w:type="spellStart"/>
            <w:r w:rsidR="003B588D" w:rsidRPr="003B588D">
              <w:rPr>
                <w:sz w:val="20"/>
                <w:szCs w:val="20"/>
              </w:rPr>
              <w:t>жеті</w:t>
            </w:r>
            <w:proofErr w:type="spellEnd"/>
            <w:r w:rsidR="003B588D" w:rsidRPr="003B588D">
              <w:rPr>
                <w:sz w:val="20"/>
                <w:szCs w:val="20"/>
              </w:rPr>
              <w:t xml:space="preserve">) </w:t>
            </w:r>
            <w:proofErr w:type="spellStart"/>
            <w:r w:rsidR="003B588D" w:rsidRPr="003B588D">
              <w:rPr>
                <w:sz w:val="20"/>
                <w:szCs w:val="20"/>
              </w:rPr>
              <w:t>теңге</w:t>
            </w:r>
            <w:proofErr w:type="spellEnd"/>
            <w:r w:rsidR="003B588D" w:rsidRPr="003B588D">
              <w:rPr>
                <w:sz w:val="20"/>
                <w:szCs w:val="20"/>
              </w:rPr>
              <w:t>.</w:t>
            </w:r>
            <w:r w:rsidR="005F1882" w:rsidRPr="00CB0271">
              <w:rPr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  <w:r w:rsidRPr="00CB0271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  <w:r w:rsidRPr="00CB0271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CB0271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CB0271">
              <w:rPr>
                <w:rFonts w:cs="Times New Roman"/>
                <w:sz w:val="20"/>
                <w:szCs w:val="20"/>
              </w:rPr>
              <w:t>: 09:</w:t>
            </w:r>
            <w:r w:rsidRPr="00CB0271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78134E" w:rsidRPr="00CB0271">
              <w:rPr>
                <w:rFonts w:cs="Times New Roman"/>
                <w:sz w:val="20"/>
                <w:szCs w:val="20"/>
              </w:rPr>
              <w:t>0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3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>3</w:t>
            </w:r>
            <w:r w:rsidRPr="00CB0271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CB0271">
              <w:rPr>
                <w:rFonts w:cs="Times New Roman"/>
                <w:sz w:val="20"/>
                <w:szCs w:val="20"/>
              </w:rPr>
              <w:t>: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, 51, 201 кабинет.</w:t>
            </w:r>
            <w:bookmarkStart w:id="0" w:name="_GoBack"/>
            <w:bookmarkEnd w:id="0"/>
          </w:p>
          <w:p w:rsidR="007A01F1" w:rsidRPr="00CB0271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lastRenderedPageBreak/>
              <w:t xml:space="preserve">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 </w:t>
            </w:r>
            <w:r w:rsidR="00CB0271" w:rsidRPr="00CB0271">
              <w:rPr>
                <w:rFonts w:cs="Times New Roman"/>
                <w:sz w:val="20"/>
                <w:szCs w:val="20"/>
                <w:lang w:val="kk-KZ"/>
              </w:rPr>
              <w:t>Е</w:t>
            </w:r>
            <w:r w:rsidRPr="00CB0271">
              <w:rPr>
                <w:rFonts w:cs="Times New Roman"/>
                <w:sz w:val="20"/>
                <w:szCs w:val="20"/>
              </w:rPr>
              <w:t xml:space="preserve">ң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CB0271">
              <w:rPr>
                <w:rFonts w:cs="Times New Roman"/>
                <w:sz w:val="20"/>
                <w:szCs w:val="20"/>
                <w:lang w:val="kk-KZ"/>
              </w:rPr>
              <w:t>141</w:t>
            </w:r>
            <w:r w:rsidRPr="00CB0271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тармағына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CB0271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lastRenderedPageBreak/>
              <w:t>мемлекеттік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CB0271" w:rsidRDefault="00CB0271" w:rsidP="00CB0271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CB0271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CB0271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r w:rsidR="003B588D">
              <w:rPr>
                <w:sz w:val="20"/>
                <w:szCs w:val="20"/>
                <w:lang w:val="kk-KZ"/>
              </w:rPr>
              <w:t>14 172 847</w:t>
            </w:r>
            <w:r w:rsidR="009C688C" w:rsidRPr="00CB0271">
              <w:rPr>
                <w:sz w:val="20"/>
                <w:szCs w:val="20"/>
              </w:rPr>
              <w:t>,</w:t>
            </w:r>
            <w:r w:rsidR="003B588D">
              <w:rPr>
                <w:sz w:val="20"/>
                <w:szCs w:val="20"/>
                <w:lang w:val="kk-KZ"/>
              </w:rPr>
              <w:t>0</w:t>
            </w:r>
            <w:r w:rsidR="000B7F2C" w:rsidRPr="00CB0271">
              <w:rPr>
                <w:sz w:val="20"/>
                <w:szCs w:val="20"/>
              </w:rPr>
              <w:t>0</w:t>
            </w:r>
            <w:r w:rsidR="0078134E" w:rsidRPr="00CB0271">
              <w:rPr>
                <w:sz w:val="20"/>
                <w:szCs w:val="20"/>
              </w:rPr>
              <w:t xml:space="preserve"> </w:t>
            </w:r>
            <w:r w:rsidRPr="00CB0271">
              <w:rPr>
                <w:sz w:val="20"/>
                <w:szCs w:val="20"/>
              </w:rPr>
              <w:t>(</w:t>
            </w:r>
            <w:r w:rsidR="003B588D">
              <w:rPr>
                <w:sz w:val="20"/>
                <w:szCs w:val="20"/>
                <w:lang w:val="kk-KZ"/>
              </w:rPr>
              <w:t>четырнадцать миллионов сто семьдесят две тысячи восемьсот сорок семь</w:t>
            </w:r>
            <w:r w:rsidRPr="00CB0271">
              <w:rPr>
                <w:sz w:val="20"/>
                <w:szCs w:val="20"/>
              </w:rPr>
              <w:t>) тенге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CB0271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  <w:lang w:val="kk-KZ"/>
              </w:rPr>
              <w:t>Срок п</w:t>
            </w:r>
            <w:proofErr w:type="spellStart"/>
            <w:r w:rsidR="007A01F1" w:rsidRPr="00CB0271">
              <w:rPr>
                <w:rFonts w:cs="Times New Roman"/>
                <w:b/>
                <w:sz w:val="20"/>
                <w:szCs w:val="20"/>
              </w:rPr>
              <w:t>оставк</w:t>
            </w:r>
            <w:proofErr w:type="spellEnd"/>
            <w:r w:rsidRPr="00CB0271">
              <w:rPr>
                <w:rFonts w:cs="Times New Roman"/>
                <w:b/>
                <w:sz w:val="20"/>
                <w:szCs w:val="20"/>
                <w:lang w:val="kk-KZ"/>
              </w:rPr>
              <w:t>и</w:t>
            </w:r>
            <w:r w:rsidR="007A01F1" w:rsidRPr="00CB0271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CB0271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CB0271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>3</w:t>
            </w:r>
            <w:r w:rsidRPr="00CB0271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CB0271">
              <w:rPr>
                <w:rFonts w:cs="Times New Roman"/>
                <w:sz w:val="20"/>
                <w:szCs w:val="20"/>
              </w:rPr>
              <w:t xml:space="preserve">: дата 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CB0271">
              <w:rPr>
                <w:rFonts w:cs="Times New Roman"/>
                <w:sz w:val="20"/>
                <w:szCs w:val="20"/>
              </w:rPr>
              <w:t>.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CB0271">
              <w:rPr>
                <w:rFonts w:cs="Times New Roman"/>
                <w:sz w:val="20"/>
                <w:szCs w:val="20"/>
              </w:rPr>
              <w:t>.202</w:t>
            </w:r>
            <w:r w:rsidR="00A33AE9" w:rsidRPr="00CB0271">
              <w:rPr>
                <w:rFonts w:cs="Times New Roman"/>
                <w:sz w:val="20"/>
                <w:szCs w:val="20"/>
              </w:rPr>
              <w:t>3</w:t>
            </w:r>
            <w:r w:rsidRPr="00CB0271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3B588D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CB0271">
              <w:rPr>
                <w:rFonts w:cs="Times New Roman"/>
                <w:sz w:val="20"/>
                <w:szCs w:val="20"/>
              </w:rPr>
              <w:t>:</w:t>
            </w:r>
            <w:r w:rsidR="003C20FD" w:rsidRPr="00CB0271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CB0271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CB0271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CB0271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CB0271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CB0271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CB0271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lastRenderedPageBreak/>
              <w:t>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CB0271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CB0271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CB0271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CB0271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CB0271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141 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0271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CB0271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CB0271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CB0271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B0271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CB027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B0271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CB0271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CB0271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CB0271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CB0271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CB0271">
              <w:rPr>
                <w:color w:val="000000"/>
                <w:sz w:val="20"/>
                <w:szCs w:val="20"/>
              </w:rPr>
              <w:t xml:space="preserve"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</w:t>
            </w:r>
            <w:r w:rsidRPr="00CB0271">
              <w:rPr>
                <w:color w:val="000000"/>
                <w:sz w:val="20"/>
                <w:szCs w:val="20"/>
              </w:rPr>
              <w:lastRenderedPageBreak/>
              <w:t>или копия учредительного договора после даты объявления закупа);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CB0271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CB0271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CB0271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CB0271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CB0271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CB0271">
              <w:rPr>
                <w:rFonts w:cs="Times New Roman"/>
                <w:color w:val="000000"/>
                <w:sz w:val="20"/>
                <w:szCs w:val="20"/>
                <w:lang w:val="kk-KZ"/>
              </w:rPr>
              <w:t>рабочих</w:t>
            </w:r>
            <w:r w:rsidRPr="00CB0271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CB0271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CB0271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5F1882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5F1882" w:rsidTr="00F65F58">
        <w:tc>
          <w:tcPr>
            <w:tcW w:w="3085" w:type="dxa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5F1882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алу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бө</w:t>
            </w:r>
            <w:proofErr w:type="gramStart"/>
            <w:r w:rsidRPr="005F1882">
              <w:rPr>
                <w:rFonts w:ascii="Times New Roman" w:hAnsi="Times New Roman"/>
                <w:b/>
              </w:rPr>
              <w:t>л</w:t>
            </w:r>
            <w:proofErr w:type="gramEnd"/>
            <w:r w:rsidRPr="005F1882">
              <w:rPr>
                <w:rFonts w:ascii="Times New Roman" w:hAnsi="Times New Roman"/>
                <w:b/>
              </w:rPr>
              <w:t>ім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F1882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5F1882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5F1882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5F1882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5F1882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5F1882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5F1882" w:rsidRDefault="0080080F" w:rsidP="0048597F">
      <w:pPr>
        <w:rPr>
          <w:rFonts w:cs="Times New Roman"/>
          <w:sz w:val="20"/>
          <w:szCs w:val="20"/>
        </w:rPr>
      </w:pPr>
      <w:r w:rsidRPr="005F1882">
        <w:rPr>
          <w:rFonts w:cs="Times New Roman"/>
          <w:i/>
          <w:sz w:val="20"/>
          <w:szCs w:val="20"/>
        </w:rPr>
        <w:t>8-727-278-04-44</w:t>
      </w:r>
    </w:p>
    <w:sectPr w:rsidR="0086053E" w:rsidRPr="005F1882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B588D"/>
    <w:rsid w:val="003C20FD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1882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A50B1"/>
    <w:rsid w:val="00CB0271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73AC4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30AF-E017-46C3-92D2-BE681ADB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4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174</cp:revision>
  <cp:lastPrinted>2023-02-22T03:28:00Z</cp:lastPrinted>
  <dcterms:created xsi:type="dcterms:W3CDTF">2019-01-15T05:22:00Z</dcterms:created>
  <dcterms:modified xsi:type="dcterms:W3CDTF">2023-03-13T05:59:00Z</dcterms:modified>
</cp:coreProperties>
</file>