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</w:t>
      </w:r>
      <w:proofErr w:type="gramStart"/>
      <w:r w:rsidR="001D13D3" w:rsidRPr="001F3DC2">
        <w:rPr>
          <w:rFonts w:cs="Times New Roman"/>
          <w:b/>
        </w:rPr>
        <w:t>н</w:t>
      </w:r>
      <w:proofErr w:type="spellEnd"/>
      <w:proofErr w:type="gram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1F3DC2" w14:paraId="11A96167" w14:textId="77777777" w:rsidTr="001D13D3">
        <w:tc>
          <w:tcPr>
            <w:tcW w:w="4785" w:type="dxa"/>
          </w:tcPr>
          <w:p w14:paraId="6BF96573" w14:textId="77777777" w:rsidR="001D13D3" w:rsidRPr="001F3DC2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496C94F9" w:rsidR="001D13D3" w:rsidRPr="001F3DC2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b/>
                <w:sz w:val="20"/>
                <w:szCs w:val="20"/>
                <w:u w:val="single"/>
              </w:rPr>
              <w:t>қайта</w:t>
            </w:r>
            <w:proofErr w:type="spellEnd"/>
            <w:r w:rsidR="001F3DC2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1F3DC2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3DC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4C88A113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1F3DC2">
              <w:rPr>
                <w:rFonts w:cs="Times New Roman"/>
                <w:sz w:val="20"/>
                <w:szCs w:val="20"/>
              </w:rPr>
              <w:t xml:space="preserve">           </w:t>
            </w:r>
            <w:r w:rsidRPr="001F3DC2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1F3DC2">
              <w:rPr>
                <w:rFonts w:cs="Times New Roman"/>
                <w:sz w:val="20"/>
                <w:szCs w:val="20"/>
              </w:rPr>
              <w:t>03</w:t>
            </w:r>
            <w:r w:rsidRPr="001F3DC2">
              <w:rPr>
                <w:rFonts w:cs="Times New Roman"/>
                <w:sz w:val="20"/>
                <w:szCs w:val="20"/>
              </w:rPr>
              <w:t>.</w:t>
            </w:r>
            <w:r w:rsidR="00D42BC4" w:rsidRPr="001F3DC2">
              <w:rPr>
                <w:rFonts w:cs="Times New Roman"/>
                <w:sz w:val="20"/>
                <w:szCs w:val="20"/>
              </w:rPr>
              <w:t>0</w:t>
            </w:r>
            <w:r w:rsidR="001F3DC2" w:rsidRPr="001F3DC2">
              <w:rPr>
                <w:rFonts w:cs="Times New Roman"/>
                <w:sz w:val="20"/>
                <w:szCs w:val="20"/>
              </w:rPr>
              <w:t>7</w:t>
            </w:r>
            <w:r w:rsidRPr="001F3DC2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1F3DC2">
              <w:rPr>
                <w:rFonts w:cs="Times New Roman"/>
                <w:sz w:val="20"/>
                <w:szCs w:val="20"/>
              </w:rPr>
              <w:t>10</w:t>
            </w:r>
            <w:r w:rsidRPr="001F3DC2">
              <w:rPr>
                <w:rFonts w:cs="Times New Roman"/>
                <w:sz w:val="20"/>
                <w:szCs w:val="20"/>
              </w:rPr>
              <w:t>:</w:t>
            </w:r>
            <w:r w:rsidR="00501A10" w:rsidRPr="001F3DC2">
              <w:rPr>
                <w:rFonts w:cs="Times New Roman"/>
                <w:sz w:val="20"/>
                <w:szCs w:val="20"/>
              </w:rPr>
              <w:t>0</w:t>
            </w:r>
            <w:r w:rsidR="00353AA1" w:rsidRPr="001F3DC2">
              <w:rPr>
                <w:rFonts w:cs="Times New Roman"/>
                <w:sz w:val="20"/>
                <w:szCs w:val="20"/>
              </w:rPr>
              <w:t>0</w:t>
            </w:r>
          </w:p>
          <w:p w14:paraId="5393350D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1F3DC2">
              <w:rPr>
                <w:rFonts w:cs="Times New Roman"/>
                <w:sz w:val="20"/>
                <w:szCs w:val="20"/>
              </w:rPr>
              <w:t>–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1F3DC2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1F3DC2">
              <w:rPr>
                <w:rFonts w:cs="Times New Roman"/>
                <w:sz w:val="20"/>
                <w:szCs w:val="20"/>
              </w:rPr>
              <w:t>«</w:t>
            </w:r>
            <w:r w:rsidRPr="001F3DC2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1F3DC2">
              <w:rPr>
                <w:rFonts w:cs="Times New Roman"/>
                <w:sz w:val="20"/>
                <w:szCs w:val="20"/>
              </w:rPr>
              <w:t>»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F3DC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1F3DC2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1F3DC2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1F3DC2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1F3DC2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қылмысты</w:t>
            </w:r>
            <w:proofErr w:type="gramStart"/>
            <w:r w:rsidR="00D42BC4" w:rsidRPr="001F3DC2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="00D42BC4" w:rsidRPr="001F3DC2">
              <w:rPr>
                <w:rFonts w:cs="Times New Roman"/>
                <w:sz w:val="20"/>
                <w:szCs w:val="20"/>
              </w:rPr>
              <w:t>атқару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кейбі</w:t>
            </w:r>
            <w:proofErr w:type="gramStart"/>
            <w:r w:rsidR="00D42BC4" w:rsidRPr="001F3DC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1F3DC2">
              <w:rPr>
                <w:rFonts w:cs="Times New Roman"/>
                <w:sz w:val="20"/>
                <w:szCs w:val="20"/>
              </w:rPr>
              <w:t>»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1F3DC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1F3DC2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1F3DC2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47FA3F13" w:rsidR="002414CE" w:rsidRPr="001F3DC2" w:rsidRDefault="001D13D3" w:rsidP="002414C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1F3DC2">
              <w:rPr>
                <w:rFonts w:cs="Times New Roman"/>
                <w:sz w:val="18"/>
                <w:szCs w:val="18"/>
              </w:rPr>
              <w:t xml:space="preserve">5 195 414,20 (бес миллион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1F3DC2" w:rsidRPr="001F3DC2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1F3DC2" w:rsidRPr="001F3DC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1F3DC2" w:rsidRPr="001F3DC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тоқсан</w:t>
            </w:r>
            <w:proofErr w:type="spellEnd"/>
            <w:r w:rsidR="001F3DC2" w:rsidRPr="001F3DC2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1F3DC2" w:rsidRPr="001F3DC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1F3DC2" w:rsidRPr="001F3DC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1F3DC2" w:rsidRPr="001F3DC2">
              <w:rPr>
                <w:rFonts w:cs="Times New Roman"/>
                <w:sz w:val="18"/>
                <w:szCs w:val="18"/>
              </w:rPr>
              <w:t xml:space="preserve"> он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1F3DC2" w:rsidRPr="001F3DC2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1F3DC2" w:rsidRPr="001F3DC2">
              <w:rPr>
                <w:rFonts w:cs="Times New Roman"/>
                <w:sz w:val="18"/>
                <w:szCs w:val="18"/>
              </w:rPr>
              <w:t xml:space="preserve"> 20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2414CE" w:rsidRPr="001F3DC2">
              <w:rPr>
                <w:sz w:val="20"/>
                <w:szCs w:val="20"/>
              </w:rPr>
              <w:t>.</w:t>
            </w:r>
          </w:p>
          <w:p w14:paraId="4B4FD3E6" w14:textId="77777777" w:rsidR="001D13D3" w:rsidRPr="001F3DC2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3DC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1F3DC2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0A8FCB07" w:rsidR="001D13D3" w:rsidRPr="001F3DC2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F3DC2" w:rsidRPr="001F3DC2">
              <w:rPr>
                <w:rFonts w:cs="Times New Roman"/>
                <w:b/>
                <w:sz w:val="20"/>
                <w:szCs w:val="20"/>
                <w:u w:val="single"/>
              </w:rPr>
              <w:t>повторных</w:t>
            </w:r>
            <w:r w:rsidR="001F3DC2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F3DC2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1F3DC2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2A3983E6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1F3DC2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1F3DC2" w:rsidRPr="001F3DC2">
              <w:rPr>
                <w:rFonts w:cs="Times New Roman"/>
                <w:sz w:val="20"/>
                <w:szCs w:val="20"/>
              </w:rPr>
              <w:t>03</w:t>
            </w:r>
            <w:r w:rsidRPr="001F3DC2">
              <w:rPr>
                <w:rFonts w:cs="Times New Roman"/>
                <w:sz w:val="20"/>
                <w:szCs w:val="20"/>
              </w:rPr>
              <w:t>.</w:t>
            </w:r>
            <w:r w:rsidR="00471E95" w:rsidRPr="001F3DC2">
              <w:rPr>
                <w:rFonts w:cs="Times New Roman"/>
                <w:sz w:val="20"/>
                <w:szCs w:val="20"/>
              </w:rPr>
              <w:t>0</w:t>
            </w:r>
            <w:r w:rsidR="001F3DC2" w:rsidRPr="001F3DC2">
              <w:rPr>
                <w:rFonts w:cs="Times New Roman"/>
                <w:sz w:val="20"/>
                <w:szCs w:val="20"/>
              </w:rPr>
              <w:t>7</w:t>
            </w:r>
            <w:r w:rsidRPr="001F3DC2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1F3DC2">
              <w:rPr>
                <w:rFonts w:cs="Times New Roman"/>
                <w:sz w:val="20"/>
                <w:szCs w:val="20"/>
              </w:rPr>
              <w:t>10</w:t>
            </w:r>
            <w:r w:rsidRPr="001F3DC2">
              <w:rPr>
                <w:rFonts w:cs="Times New Roman"/>
                <w:sz w:val="20"/>
                <w:szCs w:val="20"/>
              </w:rPr>
              <w:t>:</w:t>
            </w:r>
            <w:r w:rsidR="00501A10" w:rsidRPr="001F3DC2">
              <w:rPr>
                <w:rFonts w:cs="Times New Roman"/>
                <w:sz w:val="20"/>
                <w:szCs w:val="20"/>
              </w:rPr>
              <w:t>0</w:t>
            </w:r>
            <w:r w:rsidR="00471E95" w:rsidRPr="001F3DC2">
              <w:rPr>
                <w:rFonts w:cs="Times New Roman"/>
                <w:sz w:val="20"/>
                <w:szCs w:val="20"/>
              </w:rPr>
              <w:t>0</w:t>
            </w:r>
          </w:p>
          <w:p w14:paraId="6BB47D53" w14:textId="77777777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1F3DC2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1F3DC2">
              <w:rPr>
                <w:rFonts w:cs="Times New Roman"/>
                <w:sz w:val="20"/>
                <w:szCs w:val="20"/>
              </w:rPr>
              <w:t>«</w:t>
            </w:r>
            <w:r w:rsidRPr="001F3DC2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1F3DC2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1F3DC2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1F3DC2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1F3DC2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1F3DC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1F3DC2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1F3DC2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1F3DC2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1F3DC2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1F3DC2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1F3DC2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1F3DC2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1F3DC2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1F3DC2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1F3DC2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1F3DC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1F3DC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1F3DC2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proofErr w:type="gramStart"/>
            <w:r w:rsidRPr="001F3DC2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1F3DC2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1F3DC2">
              <w:rPr>
                <w:rStyle w:val="s1"/>
                <w:sz w:val="20"/>
                <w:szCs w:val="20"/>
              </w:rPr>
              <w:t xml:space="preserve"> </w:t>
            </w:r>
            <w:r w:rsidRPr="001F3DC2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1F3DC2">
              <w:rPr>
                <w:rStyle w:val="s1"/>
                <w:sz w:val="20"/>
                <w:szCs w:val="20"/>
              </w:rPr>
              <w:t xml:space="preserve"> </w:t>
            </w:r>
            <w:r w:rsidR="00FD7A8E" w:rsidRPr="001F3DC2">
              <w:rPr>
                <w:rStyle w:val="s1"/>
                <w:sz w:val="20"/>
                <w:szCs w:val="20"/>
              </w:rPr>
              <w:t>«</w:t>
            </w:r>
            <w:r w:rsidR="00D42BC4" w:rsidRPr="001F3DC2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1F3DC2">
              <w:rPr>
                <w:rFonts w:cs="Times New Roman"/>
                <w:color w:val="000000"/>
                <w:sz w:val="20"/>
                <w:szCs w:val="20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1F3DC2">
              <w:rPr>
                <w:rFonts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="00D42BC4" w:rsidRPr="001F3DC2">
              <w:rPr>
                <w:rFonts w:cs="Times New Roman"/>
                <w:color w:val="000000"/>
                <w:sz w:val="20"/>
                <w:szCs w:val="20"/>
              </w:rPr>
              <w:t xml:space="preserve"> силу некоторых решений Правительства Республики Казахстан</w:t>
            </w:r>
            <w:r w:rsidR="00FD7A8E" w:rsidRPr="001F3DC2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1F3DC2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3527C858" w14:textId="5DA7B776" w:rsidR="00501A10" w:rsidRPr="001F3DC2" w:rsidRDefault="001D13D3" w:rsidP="00501A10">
            <w:pPr>
              <w:jc w:val="both"/>
              <w:rPr>
                <w:rFonts w:cs="Times New Roman"/>
                <w:sz w:val="18"/>
                <w:szCs w:val="18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1F3DC2">
              <w:rPr>
                <w:rFonts w:cs="Times New Roman"/>
                <w:sz w:val="18"/>
                <w:szCs w:val="18"/>
              </w:rPr>
              <w:t xml:space="preserve">5 195 414,20 (пять миллионов сто девяносто пять тысяч четыреста четырнадцать) тенге 20 </w:t>
            </w:r>
            <w:proofErr w:type="spellStart"/>
            <w:r w:rsidR="001F3DC2" w:rsidRPr="001F3DC2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501A10" w:rsidRPr="001F3DC2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1F3DC2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1F3DC2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1F3DC2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1F3DC2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F3DC2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1F3DC2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1F3DC2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C47D9E" w:rsidRPr="001F3DC2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1F3DC2" w:rsidRDefault="005D1FE4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1443B830" w:rsidR="005D1FE4" w:rsidRPr="00903FB2" w:rsidRDefault="00D42BC4" w:rsidP="001F3DC2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F3DC2">
              <w:rPr>
                <w:rFonts w:cs="Times New Roman"/>
                <w:sz w:val="20"/>
                <w:szCs w:val="20"/>
              </w:rPr>
              <w:t>ТОО</w:t>
            </w:r>
            <w:r w:rsidRPr="00903FB2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 w:rsidR="00903FB2" w:rsidRPr="00903FB2">
              <w:rPr>
                <w:rFonts w:cs="Times New Roman"/>
                <w:sz w:val="20"/>
                <w:szCs w:val="20"/>
                <w:lang w:val="en-US"/>
              </w:rPr>
              <w:t xml:space="preserve">Pharm Stock </w:t>
            </w:r>
            <w:proofErr w:type="spellStart"/>
            <w:r w:rsidR="00903FB2" w:rsidRPr="00903FB2">
              <w:rPr>
                <w:rFonts w:cs="Times New Roman"/>
                <w:sz w:val="20"/>
                <w:szCs w:val="20"/>
                <w:lang w:val="en-US"/>
              </w:rPr>
              <w:t>Medicinnes.K</w:t>
            </w:r>
            <w:r w:rsidR="00903FB2">
              <w:rPr>
                <w:rFonts w:cs="Times New Roman"/>
                <w:sz w:val="20"/>
                <w:szCs w:val="20"/>
                <w:lang w:val="en-US"/>
              </w:rPr>
              <w:t>z</w:t>
            </w:r>
            <w:proofErr w:type="spellEnd"/>
            <w:r w:rsidRPr="00903FB2"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08BCAC98" w:rsidR="005D1FE4" w:rsidRPr="001F3DC2" w:rsidRDefault="00BB0F2E" w:rsidP="001F3DC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.</w:t>
            </w:r>
            <w:r w:rsidR="00501A10" w:rsidRPr="001F3DC2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="00501A10" w:rsidRPr="001F3DC2">
              <w:rPr>
                <w:rFonts w:cs="Times New Roman"/>
                <w:sz w:val="20"/>
                <w:szCs w:val="20"/>
              </w:rPr>
              <w:t>лматы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ул.Ходжанова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>, 55/9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030AEAE8" w:rsidR="005D1FE4" w:rsidRPr="001F3DC2" w:rsidRDefault="001F3DC2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03</w:t>
            </w:r>
            <w:r w:rsidR="005D1FE4" w:rsidRPr="001F3DC2">
              <w:rPr>
                <w:rFonts w:cs="Times New Roman"/>
                <w:sz w:val="20"/>
                <w:szCs w:val="20"/>
              </w:rPr>
              <w:t>.</w:t>
            </w:r>
            <w:r w:rsidR="00D42BC4" w:rsidRPr="001F3DC2">
              <w:rPr>
                <w:rFonts w:cs="Times New Roman"/>
                <w:sz w:val="20"/>
                <w:szCs w:val="20"/>
              </w:rPr>
              <w:t>0</w:t>
            </w:r>
            <w:r w:rsidRPr="001F3DC2">
              <w:rPr>
                <w:rFonts w:cs="Times New Roman"/>
                <w:sz w:val="20"/>
                <w:szCs w:val="20"/>
              </w:rPr>
              <w:t>7</w:t>
            </w:r>
            <w:r w:rsidR="005D1FE4" w:rsidRPr="001F3DC2">
              <w:rPr>
                <w:rFonts w:cs="Times New Roman"/>
                <w:sz w:val="20"/>
                <w:szCs w:val="20"/>
              </w:rPr>
              <w:t>.2023г.</w:t>
            </w:r>
          </w:p>
          <w:p w14:paraId="42439D5E" w14:textId="24C778ED" w:rsidR="005D1FE4" w:rsidRPr="001F3DC2" w:rsidRDefault="001F3DC2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08</w:t>
            </w:r>
            <w:r w:rsidR="005D1FE4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>20</w:t>
            </w:r>
            <w:r w:rsidR="005D1FE4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1F3DC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5D1FE4" w:rsidRPr="001F3DC2">
              <w:rPr>
                <w:rFonts w:cs="Times New Roman"/>
                <w:sz w:val="20"/>
                <w:szCs w:val="20"/>
              </w:rPr>
              <w:t>/мин</w:t>
            </w:r>
          </w:p>
          <w:p w14:paraId="36F904FA" w14:textId="77777777" w:rsidR="005D1FE4" w:rsidRPr="001F3DC2" w:rsidRDefault="005D1FE4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14:paraId="2CC7DC03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1F3DC2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1F3DC2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1F3DC2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134"/>
        <w:gridCol w:w="1559"/>
        <w:gridCol w:w="1418"/>
      </w:tblGrid>
      <w:tr w:rsidR="00E85283" w:rsidRPr="001F3DC2" w14:paraId="10C4BD89" w14:textId="77777777" w:rsidTr="00BD352E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1F3DC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1F3DC2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1F3DC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1F3DC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9D6EE1E" w14:textId="77777777" w:rsidR="00E85283" w:rsidRPr="001F3DC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F3DC2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1F3DC2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1F3DC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F3DC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1F3DC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1F3DC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1F3DC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1F3DC2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1F3DC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1F3DC2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1F3DC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1F3DC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1F3DC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1F3DC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1F3DC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1F3DC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1F3DC2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1F3DC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F3DC2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1F3DC2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1F3DC2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1F3DC2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65129" w:rsidRPr="001F3DC2" w14:paraId="49581416" w14:textId="77777777" w:rsidTr="00BD352E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D65129" w:rsidRPr="001F3DC2" w:rsidRDefault="00BD352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1F3DC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C5EEEE" w14:textId="1CDE8B1F" w:rsidR="00D65129" w:rsidRPr="001F3DC2" w:rsidRDefault="00D65129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sz w:val="18"/>
                <w:szCs w:val="18"/>
              </w:rPr>
              <w:t>Фактор свертывания крови II,VII, IX, и X в комбинации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5BDEF7F1" w:rsidR="00D65129" w:rsidRPr="001F3DC2" w:rsidRDefault="001F3DC2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sz w:val="18"/>
                <w:szCs w:val="18"/>
              </w:rPr>
              <w:t>Ф</w:t>
            </w:r>
            <w:r w:rsidR="00D65129" w:rsidRPr="001F3DC2">
              <w:rPr>
                <w:sz w:val="18"/>
                <w:szCs w:val="18"/>
              </w:rPr>
              <w:t xml:space="preserve">лакон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30A9A140" w:rsidR="00D65129" w:rsidRPr="001F3DC2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769BDC54" w:rsidR="00D65129" w:rsidRPr="001F3DC2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8"/>
                <w:szCs w:val="18"/>
              </w:rPr>
              <w:t>113 964,76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546078AD" w:rsidR="00D65129" w:rsidRPr="001F3DC2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8"/>
                <w:szCs w:val="18"/>
              </w:rPr>
              <w:t>5 128 414,20</w:t>
            </w:r>
          </w:p>
        </w:tc>
      </w:tr>
      <w:tr w:rsidR="00D65129" w:rsidRPr="001F3DC2" w14:paraId="1B645799" w14:textId="77777777" w:rsidTr="00BD352E">
        <w:trPr>
          <w:trHeight w:val="1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3623339" w14:textId="5251C15C" w:rsidR="00D65129" w:rsidRPr="001F3DC2" w:rsidRDefault="00BD352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1F3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953B37F" w14:textId="208BED9E" w:rsidR="00D65129" w:rsidRPr="001F3DC2" w:rsidRDefault="00D65129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sz w:val="18"/>
                <w:szCs w:val="18"/>
              </w:rPr>
              <w:t xml:space="preserve">Набор реагентов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B1A0C44" w14:textId="1DDA6F1A" w:rsidR="00D65129" w:rsidRPr="001F3DC2" w:rsidRDefault="001F3DC2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8"/>
                <w:szCs w:val="18"/>
              </w:rPr>
              <w:t>Упаковка</w:t>
            </w:r>
            <w:r w:rsidR="00D65129" w:rsidRPr="001F3DC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557394" w14:textId="3C8C79DD" w:rsidR="00D65129" w:rsidRPr="001F3DC2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63FDDAB" w14:textId="742BF7E9" w:rsidR="00D65129" w:rsidRPr="001F3DC2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8"/>
                <w:szCs w:val="18"/>
              </w:rPr>
              <w:t>67 000,00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B27A7FC" w14:textId="55D2A3AC" w:rsidR="00D65129" w:rsidRPr="001F3DC2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8"/>
                <w:szCs w:val="18"/>
              </w:rPr>
              <w:t>67 000,00</w:t>
            </w:r>
          </w:p>
        </w:tc>
      </w:tr>
    </w:tbl>
    <w:p w14:paraId="3B10124F" w14:textId="77777777" w:rsidR="00E85283" w:rsidRPr="001F3DC2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1F3DC2" w:rsidRDefault="00926E58" w:rsidP="001D13D3">
      <w:pPr>
        <w:rPr>
          <w:rFonts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992"/>
        <w:gridCol w:w="993"/>
        <w:gridCol w:w="1275"/>
        <w:gridCol w:w="2551"/>
      </w:tblGrid>
      <w:tr w:rsidR="001F3DC2" w:rsidRPr="001F3DC2" w14:paraId="3CCC544A" w14:textId="01312C1A" w:rsidTr="001F3DC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1F3DC2" w:rsidRPr="001F3DC2" w:rsidRDefault="001F3DC2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1F3DC2">
              <w:rPr>
                <w:rFonts w:cs="Times New Roman"/>
                <w:b/>
                <w:sz w:val="16"/>
                <w:szCs w:val="16"/>
              </w:rPr>
              <w:t>№</w:t>
            </w:r>
          </w:p>
          <w:p w14:paraId="56BA4818" w14:textId="77777777" w:rsidR="001F3DC2" w:rsidRPr="001F3DC2" w:rsidRDefault="001F3DC2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1F3DC2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302" w:type="dxa"/>
            <w:shd w:val="clear" w:color="000000" w:fill="FFFFFF"/>
            <w:vAlign w:val="center"/>
            <w:hideMark/>
          </w:tcPr>
          <w:p w14:paraId="436CB6BB" w14:textId="4DA825F3" w:rsidR="001F3DC2" w:rsidRPr="001F3DC2" w:rsidRDefault="001F3DC2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F3DC2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1F3DC2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1F3DC2" w:rsidRPr="001F3DC2" w:rsidRDefault="001F3DC2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1F3DC2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бірліг</w:t>
            </w:r>
            <w:proofErr w:type="gramStart"/>
            <w:r w:rsidRPr="001F3DC2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1F3DC2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1F3DC2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1F3DC2" w:rsidRPr="001F3DC2" w:rsidRDefault="001F3DC2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1F3DC2">
              <w:rPr>
                <w:rFonts w:cs="Times New Roman"/>
                <w:b/>
                <w:sz w:val="16"/>
                <w:szCs w:val="16"/>
              </w:rPr>
              <w:t>Саны/Кол-во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FEC4A1" w14:textId="77777777" w:rsidR="001F3DC2" w:rsidRPr="001F3DC2" w:rsidRDefault="001F3DC2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1F3DC2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1F3DC2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1F3DC2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1F3DC2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1F3DC2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25EF301" w14:textId="56EAFBF0" w:rsidR="001F3DC2" w:rsidRPr="001F3DC2" w:rsidRDefault="001F3DC2" w:rsidP="002414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1F3DC2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1F3DC2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бағ</w:t>
            </w:r>
            <w:proofErr w:type="gramStart"/>
            <w:r w:rsidRPr="001F3DC2">
              <w:rPr>
                <w:rFonts w:cs="Times New Roman"/>
                <w:b/>
                <w:sz w:val="16"/>
                <w:szCs w:val="16"/>
              </w:rPr>
              <w:t>асы</w:t>
            </w:r>
            <w:proofErr w:type="spellEnd"/>
            <w:proofErr w:type="gramEnd"/>
            <w:r w:rsidRPr="001F3DC2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Pharm</w:t>
            </w:r>
            <w:proofErr w:type="spellEnd"/>
            <w:r w:rsidRPr="001F3DC2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16"/>
                <w:szCs w:val="16"/>
              </w:rPr>
              <w:t>Stock</w:t>
            </w:r>
            <w:proofErr w:type="spellEnd"/>
            <w:r w:rsidRPr="001F3DC2">
              <w:rPr>
                <w:rFonts w:cs="Times New Roman"/>
                <w:b/>
                <w:sz w:val="16"/>
                <w:szCs w:val="16"/>
              </w:rPr>
              <w:t xml:space="preserve"> Medicinnes.KZ»</w:t>
            </w:r>
          </w:p>
        </w:tc>
      </w:tr>
      <w:tr w:rsidR="001F3DC2" w:rsidRPr="001F3DC2" w14:paraId="011DE89D" w14:textId="78395157" w:rsidTr="001F3DC2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1F3DC2" w:rsidRPr="001F3DC2" w:rsidRDefault="001F3DC2" w:rsidP="00C74077">
            <w:pPr>
              <w:rPr>
                <w:rFonts w:cs="Times New Roman"/>
                <w:sz w:val="18"/>
                <w:szCs w:val="18"/>
              </w:rPr>
            </w:pPr>
            <w:r w:rsidRPr="001F3DC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157611D" w14:textId="5D939405" w:rsidR="001F3DC2" w:rsidRPr="001F3DC2" w:rsidRDefault="001F3DC2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sz w:val="16"/>
                <w:szCs w:val="16"/>
              </w:rPr>
              <w:t>Фактор свертывания крови II,VII, IX, и X в комбинации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26E9A4D6" w:rsidR="001F3DC2" w:rsidRPr="001F3DC2" w:rsidRDefault="001F3DC2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sz w:val="16"/>
                <w:szCs w:val="16"/>
              </w:rPr>
              <w:t xml:space="preserve"> флакон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6C657251" w:rsidR="001F3DC2" w:rsidRPr="001F3DC2" w:rsidRDefault="001F3DC2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9D69B4" w14:textId="0ADF7FB2" w:rsidR="001F3DC2" w:rsidRPr="001F3DC2" w:rsidRDefault="001F3DC2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6"/>
                <w:szCs w:val="16"/>
              </w:rPr>
              <w:t>113 964,76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2CC64AB" w14:textId="556124B7" w:rsidR="001F3DC2" w:rsidRPr="001F3DC2" w:rsidRDefault="001F3DC2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6"/>
                <w:szCs w:val="16"/>
              </w:rPr>
              <w:t>113 964,76</w:t>
            </w:r>
          </w:p>
        </w:tc>
      </w:tr>
      <w:tr w:rsidR="001F3DC2" w:rsidRPr="001F3DC2" w14:paraId="034A2793" w14:textId="72BC97DC" w:rsidTr="001F3DC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3D2D7BC" w14:textId="455BBFE5" w:rsidR="001F3DC2" w:rsidRPr="001F3DC2" w:rsidRDefault="001F3DC2" w:rsidP="00C74077">
            <w:pPr>
              <w:rPr>
                <w:rFonts w:cs="Times New Roman"/>
                <w:sz w:val="18"/>
                <w:szCs w:val="18"/>
              </w:rPr>
            </w:pPr>
            <w:r w:rsidRPr="001F3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AAB25B5" w14:textId="01A26334" w:rsidR="001F3DC2" w:rsidRPr="001F3DC2" w:rsidRDefault="001F3DC2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sz w:val="16"/>
                <w:szCs w:val="16"/>
              </w:rPr>
              <w:t xml:space="preserve">Набор реагентов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2D2657F" w14:textId="539E049B" w:rsidR="001F3DC2" w:rsidRPr="001F3DC2" w:rsidRDefault="001F3DC2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C8CA3AF" w14:textId="03B7EBED" w:rsidR="001F3DC2" w:rsidRPr="001F3DC2" w:rsidRDefault="001F3DC2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7055A6" w14:textId="41E28BB6" w:rsidR="001F3DC2" w:rsidRPr="001F3DC2" w:rsidRDefault="001F3DC2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3DC2">
              <w:rPr>
                <w:rFonts w:cs="Times New Roman"/>
                <w:color w:val="000000"/>
                <w:sz w:val="16"/>
                <w:szCs w:val="16"/>
              </w:rPr>
              <w:t>67 000,00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E11FA58" w14:textId="1972911A" w:rsidR="001F3DC2" w:rsidRPr="001F3DC2" w:rsidRDefault="001F3DC2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3DC2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1F3DC2" w14:paraId="30B4FDBB" w14:textId="77777777" w:rsidTr="003572A3">
        <w:tc>
          <w:tcPr>
            <w:tcW w:w="4537" w:type="dxa"/>
          </w:tcPr>
          <w:p w14:paraId="620D3CFD" w14:textId="2F0FD3E0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4786FE37" w:rsidR="004B265E" w:rsidRPr="001F3DC2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3DC2">
              <w:rPr>
                <w:rFonts w:ascii="Times New Roman" w:hAnsi="Times New Roman" w:cs="Times New Roman"/>
              </w:rPr>
              <w:t>Ба</w:t>
            </w:r>
            <w:proofErr w:type="gramEnd"/>
            <w:r w:rsidRPr="001F3DC2">
              <w:rPr>
                <w:rFonts w:ascii="Times New Roman" w:hAnsi="Times New Roman" w:cs="Times New Roman"/>
              </w:rPr>
              <w:t>ға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1F3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C2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="007F7D4A" w:rsidRPr="001F3D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F7D4A" w:rsidRPr="001F3DC2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="007F7D4A" w:rsidRPr="001F3DC2">
              <w:rPr>
                <w:rFonts w:ascii="Times New Roman" w:hAnsi="Times New Roman" w:cs="Times New Roman"/>
              </w:rPr>
              <w:t>;</w:t>
            </w:r>
          </w:p>
          <w:p w14:paraId="0CDD57AC" w14:textId="33060875" w:rsidR="008F6671" w:rsidRPr="001F3DC2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.</w:t>
            </w:r>
          </w:p>
          <w:p w14:paraId="20F2E6F4" w14:textId="1917684B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Қаржы</w:t>
            </w:r>
            <w:proofErr w:type="spellEnd"/>
            <w:r w:rsidR="001F61DF"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Pr="001F3DC2">
              <w:rPr>
                <w:rFonts w:cs="Times New Roman"/>
                <w:sz w:val="20"/>
                <w:szCs w:val="20"/>
              </w:rPr>
              <w:t>-</w:t>
            </w:r>
            <w:r w:rsidR="001F61DF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.</w:t>
            </w:r>
          </w:p>
          <w:p w14:paraId="489654DC" w14:textId="77777777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1F3DC2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1F3DC2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1F3DC2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1F3DC2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1F3DC2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1F3DC2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1F3DC2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1F3DC2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1F3DC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1F3DC2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1F3DC2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A6A2010" w14:textId="78129098" w:rsidR="002508AC" w:rsidRPr="001F3DC2" w:rsidRDefault="00B44455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="002508AC" w:rsidRPr="001F3DC2">
              <w:rPr>
                <w:rFonts w:cs="Times New Roman"/>
                <w:sz w:val="20"/>
                <w:szCs w:val="20"/>
              </w:rPr>
              <w:t>Ереженің</w:t>
            </w:r>
            <w:proofErr w:type="spellEnd"/>
            <w:r w:rsidR="002508AC" w:rsidRPr="001F3DC2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="002508AC" w:rsidRPr="001F3DC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2508AC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1F3DC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="002508AC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1F3DC2">
              <w:rPr>
                <w:rFonts w:cs="Times New Roman"/>
                <w:sz w:val="20"/>
                <w:szCs w:val="20"/>
              </w:rPr>
              <w:t>ұсыныстарының</w:t>
            </w:r>
            <w:proofErr w:type="spellEnd"/>
            <w:r w:rsidR="002508AC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1F3DC2">
              <w:rPr>
                <w:rFonts w:cs="Times New Roman"/>
                <w:sz w:val="20"/>
                <w:szCs w:val="20"/>
              </w:rPr>
              <w:t>болмауына</w:t>
            </w:r>
            <w:proofErr w:type="spellEnd"/>
            <w:r w:rsidR="002508AC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1F3DC2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="002508AC" w:rsidRPr="001F3DC2">
              <w:rPr>
                <w:rFonts w:cs="Times New Roman"/>
                <w:sz w:val="20"/>
                <w:szCs w:val="20"/>
              </w:rPr>
              <w:t xml:space="preserve"> № </w:t>
            </w:r>
            <w:r w:rsidR="003F5F9F" w:rsidRPr="001F3DC2">
              <w:rPr>
                <w:rFonts w:cs="Times New Roman"/>
                <w:sz w:val="20"/>
                <w:szCs w:val="20"/>
              </w:rPr>
              <w:t xml:space="preserve">2 </w:t>
            </w:r>
            <w:r w:rsidR="002508AC"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="002508AC" w:rsidRPr="001F3DC2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="002508AC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508AC" w:rsidRPr="001F3DC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="002508AC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1F3DC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</w:p>
          <w:p w14:paraId="7B420091" w14:textId="77777777" w:rsidR="001F3DC2" w:rsidRPr="001F3DC2" w:rsidRDefault="001F3DC2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5E405E30" w14:textId="53BA7F01" w:rsidR="00E42062" w:rsidRPr="001F3DC2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34A7" w:rsidRPr="001F3DC2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1F3DC2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32D2" w:rsidRPr="001F3DC2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1432D2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32D2" w:rsidRPr="001F3DC2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proofErr w:type="gramEnd"/>
            <w:r w:rsidR="001432D2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32D2" w:rsidRPr="001F3DC2">
              <w:rPr>
                <w:rFonts w:cs="Times New Roman"/>
                <w:b/>
                <w:sz w:val="20"/>
                <w:szCs w:val="20"/>
              </w:rPr>
              <w:t>Қағиданың</w:t>
            </w:r>
            <w:proofErr w:type="spellEnd"/>
            <w:r w:rsidR="001432D2" w:rsidRPr="001F3DC2">
              <w:rPr>
                <w:rFonts w:cs="Times New Roman"/>
                <w:b/>
                <w:sz w:val="20"/>
                <w:szCs w:val="20"/>
              </w:rPr>
              <w:t xml:space="preserve"> 139-тармағына, 10-тарауына </w:t>
            </w:r>
            <w:proofErr w:type="spellStart"/>
            <w:r w:rsidR="001432D2" w:rsidRPr="001F3DC2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3C27C6F4" w14:textId="77777777" w:rsidR="00BD352E" w:rsidRPr="001F3DC2" w:rsidRDefault="00BD352E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889E756" w14:textId="530DB5CD" w:rsidR="00C51C0D" w:rsidRPr="001F3DC2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1F3DC2">
              <w:rPr>
                <w:rFonts w:cs="Times New Roman"/>
                <w:b/>
                <w:sz w:val="20"/>
                <w:szCs w:val="20"/>
              </w:rPr>
              <w:t>1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Октаплекс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1F3DC2">
              <w:rPr>
                <w:sz w:val="20"/>
                <w:szCs w:val="20"/>
              </w:rPr>
              <w:t xml:space="preserve">500 МЕ концентрат </w:t>
            </w:r>
            <w:proofErr w:type="spellStart"/>
            <w:r w:rsidR="001F3DC2" w:rsidRPr="001F3DC2">
              <w:rPr>
                <w:sz w:val="20"/>
                <w:szCs w:val="20"/>
              </w:rPr>
              <w:t>протромбинового</w:t>
            </w:r>
            <w:proofErr w:type="spellEnd"/>
            <w:r w:rsidR="001F3DC2" w:rsidRPr="001F3DC2">
              <w:rPr>
                <w:sz w:val="20"/>
                <w:szCs w:val="20"/>
              </w:rPr>
              <w:t xml:space="preserve"> комплекса</w:t>
            </w:r>
            <w:r w:rsidRPr="001F3DC2">
              <w:rPr>
                <w:rFonts w:cs="Times New Roman"/>
                <w:sz w:val="20"/>
                <w:szCs w:val="20"/>
              </w:rPr>
              <w:t>»</w:t>
            </w:r>
          </w:p>
          <w:p w14:paraId="1A8F5848" w14:textId="168DCD5C" w:rsidR="00BB1903" w:rsidRPr="001F3DC2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1F3DC2">
              <w:rPr>
                <w:rFonts w:cs="Times New Roman"/>
                <w:sz w:val="20"/>
                <w:szCs w:val="20"/>
              </w:rPr>
              <w:t>ЖШС</w:t>
            </w:r>
            <w:r w:rsidRPr="001F3DC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Pharm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Stock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Medicinnes.KZ</w:t>
            </w:r>
            <w:r w:rsidRPr="001F3DC2">
              <w:rPr>
                <w:rFonts w:cs="Times New Roman"/>
                <w:sz w:val="20"/>
                <w:szCs w:val="20"/>
              </w:rPr>
              <w:t xml:space="preserve">»,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мекен-жайы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Алмат</w:t>
            </w:r>
            <w:r w:rsidR="00BB2619" w:rsidRPr="001F3DC2">
              <w:rPr>
                <w:rFonts w:cs="Times New Roman"/>
                <w:sz w:val="20"/>
                <w:szCs w:val="20"/>
              </w:rPr>
              <w:t>ы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BB2619" w:rsidRPr="001F3DC2">
              <w:rPr>
                <w:rFonts w:cs="Times New Roman"/>
                <w:sz w:val="20"/>
                <w:szCs w:val="20"/>
              </w:rPr>
              <w:t xml:space="preserve">қ,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Ходжанов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көш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., 55/9 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шығыстарды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="00903FB2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1F3DC2" w:rsidRPr="001F3DC2">
              <w:rPr>
                <w:rFonts w:cs="Times New Roman"/>
                <w:sz w:val="20"/>
                <w:szCs w:val="20"/>
              </w:rPr>
              <w:t>5 128 414,20</w:t>
            </w:r>
            <w:r w:rsidRPr="001F3DC2">
              <w:rPr>
                <w:rFonts w:cs="Times New Roman"/>
                <w:sz w:val="20"/>
                <w:szCs w:val="20"/>
              </w:rPr>
              <w:t xml:space="preserve"> (</w:t>
            </w:r>
            <w:r w:rsidR="00BB2619" w:rsidRPr="001F3DC2">
              <w:rPr>
                <w:rFonts w:cs="Times New Roman"/>
                <w:sz w:val="20"/>
                <w:szCs w:val="20"/>
              </w:rPr>
              <w:t xml:space="preserve">бес </w:t>
            </w:r>
            <w:proofErr w:type="spellStart"/>
            <w:r w:rsidR="00BB2619" w:rsidRPr="001F3DC2">
              <w:rPr>
                <w:rFonts w:cs="Times New Roman"/>
                <w:sz w:val="20"/>
                <w:szCs w:val="20"/>
              </w:rPr>
              <w:t>миллионекі</w:t>
            </w:r>
            <w:proofErr w:type="spellEnd"/>
            <w:r w:rsidR="00BB2619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жиырма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он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1F3DC2">
              <w:rPr>
                <w:rFonts w:cs="Times New Roman"/>
                <w:sz w:val="20"/>
                <w:szCs w:val="20"/>
              </w:rPr>
              <w:t xml:space="preserve">20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>.</w:t>
            </w:r>
          </w:p>
          <w:p w14:paraId="203D29BB" w14:textId="2097F2DE" w:rsidR="00BB1903" w:rsidRPr="001F3DC2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76A227" w14:textId="7E355806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1F3DC2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1F3DC2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35FCCA30" w:rsidR="0021343F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1F3DC2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7F7D4A" w:rsidRPr="001F3DC2">
              <w:rPr>
                <w:rFonts w:cs="Times New Roman"/>
                <w:sz w:val="20"/>
                <w:szCs w:val="20"/>
              </w:rPr>
              <w:t>;</w:t>
            </w:r>
          </w:p>
          <w:p w14:paraId="261E3BCC" w14:textId="77777777" w:rsidR="00034CAA" w:rsidRPr="001F3DC2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60D8C988" w14:textId="77777777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1F3DC2" w:rsidRDefault="008F6671" w:rsidP="00BD352E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264EB589" w14:textId="77777777" w:rsidR="008F6671" w:rsidRPr="001F3DC2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К.</w:t>
            </w:r>
          </w:p>
          <w:p w14:paraId="6FADA428" w14:textId="2218165D" w:rsidR="00F30940" w:rsidRPr="001F3DC2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1F3DC2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1F3DC2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3783E5E9" w14:textId="27E0B47F" w:rsidR="002508AC" w:rsidRPr="001F3DC2" w:rsidRDefault="002508AC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0" w:name="z398"/>
            <w:r w:rsidRPr="001F3DC2">
              <w:rPr>
                <w:rFonts w:cs="Times New Roman"/>
                <w:sz w:val="20"/>
                <w:szCs w:val="20"/>
              </w:rPr>
              <w:t>В соответствии пункта 140, главы 10 Правил</w:t>
            </w:r>
            <w:r w:rsidRPr="001F3DC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F3DC2">
              <w:rPr>
                <w:rFonts w:cs="Times New Roman"/>
                <w:sz w:val="20"/>
                <w:szCs w:val="20"/>
              </w:rPr>
              <w:t>ввиду отсутствии ценовых предложений лот</w:t>
            </w:r>
            <w:r w:rsidR="001F3DC2" w:rsidRPr="001F3DC2">
              <w:rPr>
                <w:rFonts w:cs="Times New Roman"/>
                <w:sz w:val="20"/>
                <w:szCs w:val="20"/>
              </w:rPr>
              <w:t xml:space="preserve"> №</w:t>
            </w:r>
            <w:r w:rsidR="003F5F9F" w:rsidRPr="001F3DC2">
              <w:rPr>
                <w:rFonts w:cs="Times New Roman"/>
                <w:sz w:val="20"/>
                <w:szCs w:val="20"/>
              </w:rPr>
              <w:t xml:space="preserve"> 2, </w:t>
            </w:r>
            <w:r w:rsidRPr="001F3DC2">
              <w:rPr>
                <w:rFonts w:cs="Times New Roman"/>
                <w:sz w:val="20"/>
                <w:szCs w:val="20"/>
              </w:rPr>
              <w:t xml:space="preserve">признается </w:t>
            </w:r>
            <w:proofErr w:type="gramStart"/>
            <w:r w:rsidRPr="001F3DC2">
              <w:rPr>
                <w:rFonts w:cs="Times New Roman"/>
                <w:sz w:val="20"/>
                <w:szCs w:val="20"/>
              </w:rPr>
              <w:t>несостоявшимся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.</w:t>
            </w:r>
          </w:p>
          <w:bookmarkEnd w:id="0"/>
          <w:p w14:paraId="291BECB8" w14:textId="23C5D570" w:rsidR="00F441C3" w:rsidRPr="001F3DC2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1F3DC2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1F3DC2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1F3DC2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1F3DC2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1F3DC2">
              <w:rPr>
                <w:rFonts w:cs="Times New Roman"/>
                <w:b/>
                <w:sz w:val="20"/>
                <w:szCs w:val="20"/>
              </w:rPr>
              <w:t>лот</w:t>
            </w:r>
            <w:r w:rsidR="00F441C3" w:rsidRPr="001F3DC2">
              <w:rPr>
                <w:rFonts w:cs="Times New Roman"/>
                <w:b/>
                <w:sz w:val="20"/>
                <w:szCs w:val="20"/>
              </w:rPr>
              <w:t>ам:</w:t>
            </w:r>
          </w:p>
          <w:p w14:paraId="5D266090" w14:textId="670E5F68" w:rsidR="00C51C0D" w:rsidRPr="001F3DC2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1F3DC2">
              <w:rPr>
                <w:rFonts w:cs="Times New Roman"/>
                <w:b/>
                <w:sz w:val="20"/>
                <w:szCs w:val="20"/>
              </w:rPr>
              <w:t>1</w:t>
            </w:r>
            <w:r w:rsidRPr="001F3DC2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bookmarkStart w:id="1" w:name="_GoBack"/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Октаплекс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1F3DC2">
              <w:rPr>
                <w:sz w:val="20"/>
                <w:szCs w:val="20"/>
              </w:rPr>
              <w:t xml:space="preserve">500 МЕ концентрат </w:t>
            </w:r>
            <w:proofErr w:type="spellStart"/>
            <w:r w:rsidR="001F3DC2" w:rsidRPr="001F3DC2">
              <w:rPr>
                <w:sz w:val="20"/>
                <w:szCs w:val="20"/>
              </w:rPr>
              <w:t>протромбинового</w:t>
            </w:r>
            <w:proofErr w:type="spellEnd"/>
            <w:r w:rsidR="001F3DC2" w:rsidRPr="001F3DC2">
              <w:rPr>
                <w:sz w:val="20"/>
                <w:szCs w:val="20"/>
              </w:rPr>
              <w:t xml:space="preserve"> комплекса</w:t>
            </w:r>
            <w:bookmarkEnd w:id="1"/>
            <w:r w:rsidRPr="001F3DC2">
              <w:rPr>
                <w:rFonts w:cs="Times New Roman"/>
                <w:sz w:val="20"/>
                <w:szCs w:val="20"/>
              </w:rPr>
              <w:t>»</w:t>
            </w:r>
          </w:p>
          <w:p w14:paraId="45246082" w14:textId="4DFB290B" w:rsidR="00BB1903" w:rsidRPr="001F3DC2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1F3DC2" w:rsidRPr="001F3DC2">
              <w:rPr>
                <w:rFonts w:cs="Times New Roman"/>
                <w:sz w:val="20"/>
                <w:szCs w:val="20"/>
              </w:rPr>
              <w:t>ТОО</w:t>
            </w:r>
            <w:r w:rsidRPr="001F3DC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Pharm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Stock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 Medicinnes.KZ</w:t>
            </w:r>
            <w:r w:rsidRPr="001F3DC2">
              <w:rPr>
                <w:rFonts w:cs="Times New Roman"/>
                <w:sz w:val="20"/>
                <w:szCs w:val="20"/>
              </w:rPr>
              <w:t xml:space="preserve">», местонахождение </w:t>
            </w:r>
            <w:r w:rsidR="00BB2619" w:rsidRPr="001F3DC2">
              <w:rPr>
                <w:rFonts w:cs="Times New Roman"/>
                <w:sz w:val="20"/>
                <w:szCs w:val="20"/>
              </w:rPr>
              <w:t>г.</w:t>
            </w:r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r w:rsidR="00BB2619" w:rsidRPr="001F3DC2">
              <w:rPr>
                <w:rFonts w:cs="Times New Roman"/>
                <w:sz w:val="20"/>
                <w:szCs w:val="20"/>
              </w:rPr>
              <w:t>Алматы ул.</w:t>
            </w:r>
            <w:r w:rsidR="001F3DC2"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3DC2" w:rsidRPr="001F3DC2">
              <w:rPr>
                <w:rFonts w:cs="Times New Roman"/>
                <w:sz w:val="20"/>
                <w:szCs w:val="20"/>
              </w:rPr>
              <w:t>Ходжанова</w:t>
            </w:r>
            <w:proofErr w:type="spellEnd"/>
            <w:r w:rsidR="001F3DC2" w:rsidRPr="001F3DC2">
              <w:rPr>
                <w:rFonts w:cs="Times New Roman"/>
                <w:sz w:val="20"/>
                <w:szCs w:val="20"/>
              </w:rPr>
              <w:t xml:space="preserve">, 55/9 </w:t>
            </w:r>
            <w:r w:rsidRPr="001F3DC2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BB2619" w:rsidRPr="001F3DC2">
              <w:rPr>
                <w:rFonts w:cs="Times New Roman"/>
                <w:sz w:val="20"/>
                <w:szCs w:val="20"/>
              </w:rPr>
              <w:t xml:space="preserve">5 </w:t>
            </w:r>
            <w:r w:rsidR="001F3DC2" w:rsidRPr="001F3DC2">
              <w:rPr>
                <w:rFonts w:cs="Times New Roman"/>
                <w:sz w:val="20"/>
                <w:szCs w:val="20"/>
              </w:rPr>
              <w:t>5 128 414,20</w:t>
            </w:r>
            <w:r w:rsidRPr="001F3DC2">
              <w:rPr>
                <w:sz w:val="20"/>
                <w:szCs w:val="20"/>
              </w:rPr>
              <w:t xml:space="preserve"> </w:t>
            </w:r>
            <w:r w:rsidRPr="001F3DC2">
              <w:rPr>
                <w:rFonts w:cs="Times New Roman"/>
                <w:sz w:val="20"/>
                <w:szCs w:val="20"/>
              </w:rPr>
              <w:t>(</w:t>
            </w:r>
            <w:r w:rsidR="00BB2619" w:rsidRPr="001F3DC2">
              <w:rPr>
                <w:sz w:val="20"/>
                <w:szCs w:val="20"/>
              </w:rPr>
              <w:t>пять миллионов</w:t>
            </w:r>
            <w:r w:rsidR="001F3DC2" w:rsidRPr="001F3DC2">
              <w:rPr>
                <w:sz w:val="20"/>
                <w:szCs w:val="20"/>
              </w:rPr>
              <w:t xml:space="preserve"> сто двадцать восемь тысяч четыреста четырнадцать</w:t>
            </w:r>
            <w:r w:rsidRPr="001F3DC2">
              <w:rPr>
                <w:rFonts w:cs="Times New Roman"/>
                <w:sz w:val="20"/>
                <w:szCs w:val="20"/>
              </w:rPr>
              <w:t>) тенге</w:t>
            </w:r>
            <w:r w:rsidRPr="001F3DC2">
              <w:rPr>
                <w:b/>
                <w:noProof/>
                <w:sz w:val="20"/>
                <w:szCs w:val="20"/>
              </w:rPr>
              <w:t xml:space="preserve"> </w:t>
            </w:r>
            <w:r w:rsidR="001F3DC2" w:rsidRPr="001F3DC2">
              <w:rPr>
                <w:noProof/>
                <w:sz w:val="20"/>
                <w:szCs w:val="20"/>
              </w:rPr>
              <w:t>20 тиын</w:t>
            </w:r>
            <w:r w:rsidR="001F3DC2" w:rsidRPr="001F3DC2">
              <w:rPr>
                <w:b/>
                <w:noProof/>
                <w:sz w:val="20"/>
                <w:szCs w:val="20"/>
              </w:rPr>
              <w:t xml:space="preserve"> </w:t>
            </w:r>
            <w:r w:rsidRPr="001F3DC2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6922C2A" w14:textId="7DBE7F39" w:rsidR="00C51C0D" w:rsidRPr="001F3DC2" w:rsidRDefault="00C51C0D" w:rsidP="00BD352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4EC21D" w14:textId="53C2B634" w:rsidR="008F6671" w:rsidRPr="001F3DC2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1F3DC2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913380">
              <w:tc>
                <w:tcPr>
                  <w:tcW w:w="2580" w:type="dxa"/>
                  <w:vAlign w:val="center"/>
                </w:tcPr>
                <w:p w14:paraId="02EDF830" w14:textId="77777777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1F3DC2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1F3DC2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65129"/>
    <w:rsid w:val="00D9039E"/>
    <w:rsid w:val="00D946BA"/>
    <w:rsid w:val="00DB1296"/>
    <w:rsid w:val="00E22874"/>
    <w:rsid w:val="00E42062"/>
    <w:rsid w:val="00E62F4F"/>
    <w:rsid w:val="00E85283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2413-9F07-46AB-A994-DB43DAB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44</cp:revision>
  <cp:lastPrinted>2023-07-03T13:58:00Z</cp:lastPrinted>
  <dcterms:created xsi:type="dcterms:W3CDTF">2023-03-01T09:57:00Z</dcterms:created>
  <dcterms:modified xsi:type="dcterms:W3CDTF">2023-07-04T03:16:00Z</dcterms:modified>
</cp:coreProperties>
</file>