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D621" w14:textId="4C6DF4A3" w:rsidR="001D13D3" w:rsidRPr="001F3DC2" w:rsidRDefault="00FD7A8E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="001D13D3" w:rsidRPr="001F3DC2">
        <w:rPr>
          <w:rFonts w:cs="Times New Roman"/>
          <w:b/>
        </w:rPr>
        <w:t>Бекітемін</w:t>
      </w:r>
      <w:proofErr w:type="spellEnd"/>
      <w:r w:rsidRPr="001F3DC2">
        <w:rPr>
          <w:rFonts w:cs="Times New Roman"/>
          <w:b/>
        </w:rPr>
        <w:t>»</w:t>
      </w:r>
    </w:p>
    <w:p w14:paraId="717F9703" w14:textId="77777777" w:rsidR="001D13D3" w:rsidRPr="001F3DC2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1F3DC2" w:rsidRDefault="001D13D3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</w:t>
      </w:r>
      <w:r w:rsidR="00FD7A8E" w:rsidRPr="001F3DC2">
        <w:rPr>
          <w:rFonts w:cs="Times New Roman"/>
          <w:b/>
        </w:rPr>
        <w:t>«</w:t>
      </w:r>
      <w:r w:rsidRPr="001F3DC2">
        <w:rPr>
          <w:rFonts w:cs="Times New Roman"/>
          <w:b/>
        </w:rPr>
        <w:t xml:space="preserve">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</w:t>
      </w:r>
      <w:r w:rsidR="00FD7A8E" w:rsidRPr="001F3DC2">
        <w:rPr>
          <w:rFonts w:cs="Times New Roman"/>
          <w:b/>
        </w:rPr>
        <w:t>»</w:t>
      </w:r>
    </w:p>
    <w:p w14:paraId="6550F507" w14:textId="77777777" w:rsidR="00C51A68" w:rsidRPr="001F3DC2" w:rsidRDefault="001D13D3" w:rsidP="001D13D3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12FC3" w14:paraId="11A96167" w14:textId="77777777" w:rsidTr="001D13D3">
        <w:tc>
          <w:tcPr>
            <w:tcW w:w="4785" w:type="dxa"/>
          </w:tcPr>
          <w:p w14:paraId="6BF96573" w14:textId="7777777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3EFA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proofErr w:type="gram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3EFA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proofErr w:type="gram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194DE33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2B3EFA">
              <w:rPr>
                <w:rFonts w:cs="Times New Roman"/>
                <w:sz w:val="20"/>
                <w:szCs w:val="20"/>
              </w:rPr>
              <w:t xml:space="preserve">           </w:t>
            </w:r>
            <w:r w:rsidRPr="002B3EFA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="00A93747"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2B3EFA">
              <w:rPr>
                <w:rFonts w:cs="Times New Roman"/>
                <w:sz w:val="20"/>
                <w:szCs w:val="20"/>
              </w:rPr>
              <w:t>.</w:t>
            </w:r>
            <w:r w:rsidR="00D42BC4" w:rsidRPr="002B3EFA">
              <w:rPr>
                <w:rFonts w:cs="Times New Roman"/>
                <w:sz w:val="20"/>
                <w:szCs w:val="20"/>
              </w:rPr>
              <w:t>0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9</w:t>
            </w:r>
            <w:r w:rsidRPr="002B3EFA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2B3EFA">
              <w:rPr>
                <w:rFonts w:cs="Times New Roman"/>
                <w:sz w:val="20"/>
                <w:szCs w:val="20"/>
              </w:rPr>
              <w:t>10</w:t>
            </w:r>
            <w:r w:rsidRPr="002B3EFA">
              <w:rPr>
                <w:rFonts w:cs="Times New Roman"/>
                <w:sz w:val="20"/>
                <w:szCs w:val="20"/>
              </w:rPr>
              <w:t>:</w:t>
            </w:r>
            <w:r w:rsidR="003859F8" w:rsidRPr="002B3EFA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5393350D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2B3EFA">
              <w:rPr>
                <w:rFonts w:cs="Times New Roman"/>
                <w:sz w:val="20"/>
                <w:szCs w:val="20"/>
              </w:rPr>
              <w:t>–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2B3EFA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2B3EFA">
              <w:rPr>
                <w:rFonts w:cs="Times New Roman"/>
                <w:sz w:val="20"/>
                <w:szCs w:val="20"/>
              </w:rPr>
              <w:t>«</w:t>
            </w:r>
            <w:r w:rsidRPr="002B3EFA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2B3EFA">
              <w:rPr>
                <w:rFonts w:cs="Times New Roman"/>
                <w:sz w:val="20"/>
                <w:szCs w:val="20"/>
              </w:rPr>
              <w:t>»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2B3EFA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2B3EFA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2B3EFA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2B3EFA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қылмыстық-атқару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кейбір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2B3EFA">
              <w:rPr>
                <w:rFonts w:cs="Times New Roman"/>
                <w:sz w:val="20"/>
                <w:szCs w:val="20"/>
              </w:rPr>
              <w:t>»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2B3EF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2B3EFA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2B3EFA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5AB9B02C" w:rsidR="002414CE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A93747" w:rsidRPr="00A93747">
              <w:rPr>
                <w:rFonts w:cs="Times New Roman"/>
                <w:sz w:val="20"/>
                <w:szCs w:val="20"/>
              </w:rPr>
              <w:t>9</w:t>
            </w:r>
            <w:r w:rsidR="00A93747" w:rsidRPr="00A93747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="00A93747" w:rsidRPr="00A93747">
              <w:rPr>
                <w:rFonts w:cs="Times New Roman"/>
                <w:sz w:val="20"/>
                <w:szCs w:val="20"/>
              </w:rPr>
              <w:t>370 871,00 (</w:t>
            </w:r>
            <w:r w:rsidR="00A93747" w:rsidRPr="00A93747">
              <w:rPr>
                <w:rFonts w:cs="Times New Roman"/>
                <w:sz w:val="20"/>
                <w:szCs w:val="20"/>
                <w:lang w:val="kk-KZ"/>
              </w:rPr>
              <w:t>тоғыз миллион үш жүз жетпіс мың сегіз жүз жетпіс бір</w:t>
            </w:r>
            <w:r w:rsidR="00D7587E" w:rsidRPr="002B3EF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7587E" w:rsidRPr="002B3EFA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2B3EFA">
              <w:rPr>
                <w:sz w:val="20"/>
                <w:szCs w:val="20"/>
              </w:rPr>
              <w:t>.</w:t>
            </w:r>
          </w:p>
          <w:p w14:paraId="4B4FD3E6" w14:textId="77777777" w:rsidR="001D13D3" w:rsidRPr="002B3EFA" w:rsidRDefault="001D13D3" w:rsidP="00712FC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B3EFA">
              <w:rPr>
                <w:rFonts w:cs="Times New Roman"/>
                <w:b/>
                <w:sz w:val="20"/>
                <w:szCs w:val="20"/>
              </w:rPr>
              <w:t>итогов</w:t>
            </w:r>
            <w:proofErr w:type="gramEnd"/>
            <w:r w:rsidRPr="002B3EFA">
              <w:rPr>
                <w:rFonts w:cs="Times New Roman"/>
                <w:b/>
                <w:sz w:val="20"/>
                <w:szCs w:val="20"/>
              </w:rPr>
              <w:t xml:space="preserve"> проведенных</w:t>
            </w:r>
            <w:r w:rsidR="001F3DC2"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2B3EFA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B3EFA">
              <w:rPr>
                <w:rFonts w:cs="Times New Roman"/>
                <w:b/>
                <w:sz w:val="20"/>
                <w:szCs w:val="20"/>
              </w:rPr>
              <w:t>способом</w:t>
            </w:r>
            <w:proofErr w:type="gramEnd"/>
            <w:r w:rsidRPr="002B3EFA">
              <w:rPr>
                <w:rFonts w:cs="Times New Roman"/>
                <w:b/>
                <w:sz w:val="20"/>
                <w:szCs w:val="20"/>
              </w:rPr>
              <w:t xml:space="preserve"> запроса ценовых предложений</w:t>
            </w:r>
          </w:p>
          <w:p w14:paraId="55595857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49EA9A6A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2B3EFA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A93747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2B3EFA">
              <w:rPr>
                <w:rFonts w:cs="Times New Roman"/>
                <w:sz w:val="20"/>
                <w:szCs w:val="20"/>
              </w:rPr>
              <w:t>.</w:t>
            </w:r>
            <w:r w:rsidR="00471E95" w:rsidRPr="002B3EFA">
              <w:rPr>
                <w:rFonts w:cs="Times New Roman"/>
                <w:sz w:val="20"/>
                <w:szCs w:val="20"/>
              </w:rPr>
              <w:t>0</w:t>
            </w:r>
            <w:r w:rsidR="00C8743C" w:rsidRPr="002B3EFA">
              <w:rPr>
                <w:rFonts w:cs="Times New Roman"/>
                <w:sz w:val="20"/>
                <w:szCs w:val="20"/>
                <w:lang w:val="kk-KZ"/>
              </w:rPr>
              <w:t>9</w:t>
            </w:r>
            <w:r w:rsidRPr="002B3EFA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2B3EFA">
              <w:rPr>
                <w:rFonts w:cs="Times New Roman"/>
                <w:sz w:val="20"/>
                <w:szCs w:val="20"/>
              </w:rPr>
              <w:t>10</w:t>
            </w:r>
            <w:r w:rsidRPr="002B3EFA">
              <w:rPr>
                <w:rFonts w:cs="Times New Roman"/>
                <w:sz w:val="20"/>
                <w:szCs w:val="20"/>
              </w:rPr>
              <w:t>:</w:t>
            </w:r>
            <w:r w:rsidR="003859F8" w:rsidRPr="002B3EFA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6BB47D53" w14:textId="77777777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2B3EFA">
              <w:rPr>
                <w:rFonts w:cs="Times New Roman"/>
                <w:sz w:val="20"/>
                <w:szCs w:val="20"/>
              </w:rPr>
              <w:t>«</w:t>
            </w:r>
            <w:r w:rsidRPr="002B3EFA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2B3EFA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2B3EFA" w:rsidRDefault="001D13D3" w:rsidP="00712FC3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2B3EFA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2B3EFA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2B3EF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2B3EF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2B3EFA" w:rsidRDefault="001D13D3" w:rsidP="00712FC3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2B3EFA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2B3EFA">
              <w:rPr>
                <w:rStyle w:val="s1"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2B3EFA">
              <w:rPr>
                <w:rStyle w:val="s1"/>
                <w:sz w:val="20"/>
                <w:szCs w:val="20"/>
              </w:rPr>
              <w:t xml:space="preserve"> </w:t>
            </w:r>
            <w:r w:rsidR="00FD7A8E" w:rsidRPr="002B3EFA">
              <w:rPr>
                <w:rStyle w:val="s1"/>
                <w:sz w:val="20"/>
                <w:szCs w:val="20"/>
              </w:rPr>
              <w:t>«</w:t>
            </w:r>
            <w:r w:rsidR="00D42BC4" w:rsidRPr="002B3EFA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="00FD7A8E" w:rsidRPr="002B3EFA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2B3EFA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3527C858" w14:textId="5CEA609D" w:rsidR="00501A10" w:rsidRPr="002B3EFA" w:rsidRDefault="001D13D3" w:rsidP="00712FC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="00A93747" w:rsidRPr="00A93747">
              <w:rPr>
                <w:rFonts w:cs="Times New Roman"/>
                <w:sz w:val="20"/>
                <w:szCs w:val="20"/>
              </w:rPr>
              <w:t>9</w:t>
            </w:r>
            <w:r w:rsidR="00A93747" w:rsidRPr="00A93747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="00A93747" w:rsidRPr="00A93747">
              <w:rPr>
                <w:rFonts w:cs="Times New Roman"/>
                <w:sz w:val="20"/>
                <w:szCs w:val="20"/>
              </w:rPr>
              <w:t>370 871,00 (девять миллионов триста семьдесят тысяч восемьсот семьдесят один</w:t>
            </w:r>
            <w:r w:rsidR="00D7587E" w:rsidRPr="002B3EFA">
              <w:rPr>
                <w:rFonts w:cs="Times New Roman"/>
                <w:sz w:val="20"/>
                <w:szCs w:val="20"/>
              </w:rPr>
              <w:t>) тенге</w:t>
            </w:r>
            <w:r w:rsidR="00B6778B" w:rsidRPr="002B3EFA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6B1EA4E9" w14:textId="0291F9C6" w:rsidR="001D13D3" w:rsidRPr="00712FC3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1F3DC2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B6778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166DDE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77649A54" w:rsidR="005D1FE4" w:rsidRPr="00B6778B" w:rsidRDefault="00C8743C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ЖШС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r w:rsidR="00BF50BF">
              <w:rPr>
                <w:rFonts w:cs="Times New Roman"/>
                <w:sz w:val="18"/>
                <w:szCs w:val="18"/>
                <w:lang w:val="kk-KZ"/>
              </w:rPr>
              <w:t>Нур-Торе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1705A511" w:rsidR="005D1FE4" w:rsidRPr="00166DDE" w:rsidRDefault="00166DDE" w:rsidP="00166DDE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Алматы</w:t>
            </w:r>
            <w:r w:rsidR="00C8743C" w:rsidRPr="00166DDE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C8743C" w:rsidRPr="00C8743C">
              <w:rPr>
                <w:rFonts w:cs="Times New Roman"/>
                <w:sz w:val="18"/>
                <w:szCs w:val="18"/>
              </w:rPr>
              <w:t>қ</w:t>
            </w:r>
            <w:r w:rsidR="00C8743C" w:rsidRPr="00166DDE">
              <w:rPr>
                <w:rFonts w:cs="Times New Roman"/>
                <w:sz w:val="18"/>
                <w:szCs w:val="18"/>
                <w:lang w:val="en-US"/>
              </w:rPr>
              <w:t xml:space="preserve">., </w:t>
            </w:r>
            <w:r>
              <w:rPr>
                <w:rFonts w:cs="Times New Roman"/>
                <w:sz w:val="18"/>
                <w:szCs w:val="18"/>
                <w:lang w:val="kk-KZ"/>
              </w:rPr>
              <w:t>Қабанбай батыр көшесі 238</w:t>
            </w:r>
            <w:r w:rsidR="00C8743C" w:rsidRPr="00166DDE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29A692A4" w:rsidR="00D7587E" w:rsidRPr="00166DDE" w:rsidRDefault="00BF50BF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01</w:t>
            </w:r>
            <w:r w:rsidR="00D7587E" w:rsidRPr="00166DDE">
              <w:rPr>
                <w:rFonts w:cs="Times New Roman"/>
                <w:sz w:val="18"/>
                <w:szCs w:val="18"/>
                <w:lang w:val="en-US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9</w:t>
            </w:r>
            <w:r w:rsidR="00D7587E" w:rsidRPr="00166DDE">
              <w:rPr>
                <w:rFonts w:cs="Times New Roman"/>
                <w:sz w:val="18"/>
                <w:szCs w:val="18"/>
                <w:lang w:val="en-US"/>
              </w:rPr>
              <w:t>.2023</w:t>
            </w:r>
            <w:r w:rsidR="00D7587E" w:rsidRPr="00B6778B">
              <w:rPr>
                <w:rFonts w:cs="Times New Roman"/>
                <w:sz w:val="18"/>
                <w:szCs w:val="18"/>
              </w:rPr>
              <w:t>г</w:t>
            </w:r>
            <w:r w:rsidR="00D7587E" w:rsidRPr="00166DDE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14:paraId="40A70D81" w14:textId="374B43AE" w:rsidR="00D7587E" w:rsidRPr="00BF50BF" w:rsidRDefault="00BF50BF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D7587E" w:rsidRPr="00166DDE">
              <w:rPr>
                <w:rFonts w:cs="Times New Roman"/>
                <w:sz w:val="18"/>
                <w:szCs w:val="18"/>
                <w:lang w:val="en-US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56</w:t>
            </w:r>
            <w:r w:rsidR="00D7587E" w:rsidRPr="00166DDE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587E"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D7587E" w:rsidRPr="00166DDE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="00D7587E"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63BDEBAC" w:rsidR="005D1FE4" w:rsidRPr="00166DDE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gramStart"/>
            <w:r w:rsidRPr="00B6778B">
              <w:rPr>
                <w:rFonts w:cs="Times New Roman"/>
                <w:sz w:val="18"/>
                <w:szCs w:val="18"/>
              </w:rPr>
              <w:t>час</w:t>
            </w:r>
            <w:proofErr w:type="gramEnd"/>
            <w:r w:rsidRPr="00166DDE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  <w:tr w:rsidR="00BF50BF" w:rsidRPr="00166DDE" w14:paraId="6A59DCCA" w14:textId="77777777" w:rsidTr="000816AC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2634" w14:textId="14781CE8" w:rsidR="00BF50BF" w:rsidRPr="00A93747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597A" w14:textId="29A235A5" w:rsidR="00BF50BF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912E40">
              <w:rPr>
                <w:rFonts w:cs="Times New Roman"/>
                <w:sz w:val="18"/>
                <w:szCs w:val="18"/>
                <w:lang w:val="kk-KZ"/>
              </w:rPr>
              <w:t>ЖШС</w:t>
            </w:r>
            <w:r w:rsidRPr="00912E40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cs="Times New Roman"/>
                <w:sz w:val="18"/>
                <w:szCs w:val="18"/>
                <w:lang w:val="en-US"/>
              </w:rPr>
              <w:t>IVD Holding</w:t>
            </w:r>
            <w:r w:rsidRPr="00912E40">
              <w:rPr>
                <w:rFonts w:cs="Times New Roman"/>
                <w:sz w:val="18"/>
                <w:szCs w:val="18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8D30" w14:textId="31227D17" w:rsidR="00BF50BF" w:rsidRPr="00166DDE" w:rsidRDefault="00166DDE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Алматы қ, Жандосов көшесі 172 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7BB9" w14:textId="06510327" w:rsidR="00BF50BF" w:rsidRPr="00166DDE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</w:t>
            </w:r>
            <w:r w:rsidRPr="00166DDE">
              <w:rPr>
                <w:rFonts w:cs="Times New Roman"/>
                <w:sz w:val="18"/>
                <w:szCs w:val="18"/>
                <w:lang w:val="en-US"/>
              </w:rPr>
              <w:t>4.0</w:t>
            </w:r>
            <w:r>
              <w:rPr>
                <w:rFonts w:cs="Times New Roman"/>
                <w:sz w:val="18"/>
                <w:szCs w:val="18"/>
                <w:lang w:val="kk-KZ"/>
              </w:rPr>
              <w:t>9</w:t>
            </w:r>
            <w:r w:rsidRPr="00166DDE">
              <w:rPr>
                <w:rFonts w:cs="Times New Roman"/>
                <w:sz w:val="18"/>
                <w:szCs w:val="18"/>
                <w:lang w:val="en-US"/>
              </w:rPr>
              <w:t>.2023</w:t>
            </w:r>
            <w:r w:rsidRPr="00B6778B">
              <w:rPr>
                <w:rFonts w:cs="Times New Roman"/>
                <w:sz w:val="18"/>
                <w:szCs w:val="18"/>
              </w:rPr>
              <w:t>г</w:t>
            </w:r>
            <w:r w:rsidRPr="00166DDE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14:paraId="78ED4F4E" w14:textId="005BE0CE" w:rsidR="00BF50BF" w:rsidRPr="00BF50BF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13</w:t>
            </w:r>
            <w:r w:rsidRPr="00166DDE">
              <w:rPr>
                <w:rFonts w:cs="Times New Roman"/>
                <w:sz w:val="18"/>
                <w:szCs w:val="18"/>
                <w:lang w:val="en-US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5</w:t>
            </w:r>
            <w:r>
              <w:rPr>
                <w:rFonts w:cs="Times New Roman"/>
                <w:sz w:val="18"/>
                <w:szCs w:val="18"/>
                <w:lang w:val="en-US"/>
              </w:rPr>
              <w:t>0</w:t>
            </w:r>
            <w:r w:rsidRPr="00166DDE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166DDE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24584B9F" w14:textId="43086124" w:rsidR="00BF50BF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proofErr w:type="gramStart"/>
            <w:r w:rsidRPr="00B6778B">
              <w:rPr>
                <w:rFonts w:cs="Times New Roman"/>
                <w:sz w:val="18"/>
                <w:szCs w:val="18"/>
              </w:rPr>
              <w:t>час</w:t>
            </w:r>
            <w:proofErr w:type="gramEnd"/>
            <w:r w:rsidRPr="00166DDE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  <w:tr w:rsidR="00BF50BF" w:rsidRPr="005E594C" w14:paraId="2CDD745E" w14:textId="77777777" w:rsidTr="000816AC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9270" w14:textId="5EF9BCDB" w:rsidR="00BF50BF" w:rsidRPr="00A93747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C15B" w14:textId="25E51A9B" w:rsidR="00BF50BF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912E40">
              <w:rPr>
                <w:rFonts w:cs="Times New Roman"/>
                <w:sz w:val="18"/>
                <w:szCs w:val="18"/>
                <w:lang w:val="kk-KZ"/>
              </w:rPr>
              <w:t>ЖШС</w:t>
            </w:r>
            <w:r w:rsidRPr="00912E40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cs="Times New Roman"/>
                <w:sz w:val="18"/>
                <w:szCs w:val="18"/>
                <w:lang w:val="kk-KZ"/>
              </w:rPr>
              <w:t>ТЦ Мастер</w:t>
            </w:r>
            <w:r w:rsidRPr="00912E40">
              <w:rPr>
                <w:rFonts w:cs="Times New Roman"/>
                <w:sz w:val="18"/>
                <w:szCs w:val="18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A4D6" w14:textId="4F743E00" w:rsidR="00BF50BF" w:rsidRPr="00166DDE" w:rsidRDefault="00166DDE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Алматы қ, Алмас ш/а, 16 үй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7B05" w14:textId="19ACDA59" w:rsidR="00BF50BF" w:rsidRPr="00A634D4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04</w:t>
            </w:r>
            <w:r w:rsidRPr="00166DDE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9</w:t>
            </w:r>
            <w:r w:rsidRPr="00166DDE">
              <w:rPr>
                <w:rFonts w:cs="Times New Roman"/>
                <w:sz w:val="18"/>
                <w:szCs w:val="18"/>
              </w:rPr>
              <w:t>.202</w:t>
            </w:r>
            <w:r w:rsidRPr="00A634D4">
              <w:rPr>
                <w:rFonts w:cs="Times New Roman"/>
                <w:sz w:val="18"/>
                <w:szCs w:val="18"/>
              </w:rPr>
              <w:t>3</w:t>
            </w:r>
            <w:r w:rsidRPr="00B6778B">
              <w:rPr>
                <w:rFonts w:cs="Times New Roman"/>
                <w:sz w:val="18"/>
                <w:szCs w:val="18"/>
              </w:rPr>
              <w:t>г</w:t>
            </w:r>
            <w:r w:rsidRPr="00A634D4">
              <w:rPr>
                <w:rFonts w:cs="Times New Roman"/>
                <w:sz w:val="18"/>
                <w:szCs w:val="18"/>
              </w:rPr>
              <w:t>.</w:t>
            </w:r>
          </w:p>
          <w:p w14:paraId="56133998" w14:textId="64C974D2" w:rsidR="00BF50BF" w:rsidRPr="00BF50BF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15</w:t>
            </w:r>
            <w:r w:rsidRPr="00A634D4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A634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49DC8B6B" w14:textId="3A9560B3" w:rsidR="00BF50BF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proofErr w:type="gramStart"/>
            <w:r w:rsidRPr="00B6778B">
              <w:rPr>
                <w:rFonts w:cs="Times New Roman"/>
                <w:sz w:val="18"/>
                <w:szCs w:val="18"/>
              </w:rPr>
              <w:t>час</w:t>
            </w:r>
            <w:proofErr w:type="gram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  <w:tr w:rsidR="00BF50BF" w:rsidRPr="005E594C" w14:paraId="0F93BBE8" w14:textId="77777777" w:rsidTr="000816AC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5D67" w14:textId="319C6A5B" w:rsidR="00BF50BF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025F" w14:textId="757540D6" w:rsidR="00BF50BF" w:rsidRPr="00912E40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912E40">
              <w:rPr>
                <w:rFonts w:cs="Times New Roman"/>
                <w:sz w:val="18"/>
                <w:szCs w:val="18"/>
                <w:lang w:val="kk-KZ"/>
              </w:rPr>
              <w:t>ЖШС</w:t>
            </w:r>
            <w:r w:rsidRPr="00912E40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cs="Times New Roman"/>
                <w:sz w:val="18"/>
                <w:szCs w:val="18"/>
                <w:lang w:val="kk-KZ"/>
              </w:rPr>
              <w:t>Дельрус Казахстан</w:t>
            </w:r>
            <w:r w:rsidRPr="00912E40">
              <w:rPr>
                <w:rFonts w:cs="Times New Roman"/>
                <w:sz w:val="18"/>
                <w:szCs w:val="18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DB11" w14:textId="2DF9287F" w:rsidR="00BF50BF" w:rsidRPr="00166DDE" w:rsidRDefault="00166DDE" w:rsidP="00166DD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Астана қ, Богенбай батыр даңғылы 3/3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8236" w14:textId="31DBDFE4" w:rsidR="00BF50BF" w:rsidRPr="00A634D4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05</w:t>
            </w:r>
            <w:r w:rsidRPr="00A634D4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9</w:t>
            </w:r>
            <w:r w:rsidRPr="00A634D4">
              <w:rPr>
                <w:rFonts w:cs="Times New Roman"/>
                <w:sz w:val="18"/>
                <w:szCs w:val="18"/>
              </w:rPr>
              <w:t>.2023</w:t>
            </w:r>
            <w:r w:rsidRPr="00B6778B">
              <w:rPr>
                <w:rFonts w:cs="Times New Roman"/>
                <w:sz w:val="18"/>
                <w:szCs w:val="18"/>
              </w:rPr>
              <w:t>г</w:t>
            </w:r>
            <w:r w:rsidRPr="00A634D4">
              <w:rPr>
                <w:rFonts w:cs="Times New Roman"/>
                <w:sz w:val="18"/>
                <w:szCs w:val="18"/>
              </w:rPr>
              <w:t>.</w:t>
            </w:r>
          </w:p>
          <w:p w14:paraId="292D3FEA" w14:textId="7C27ABCA" w:rsidR="00BF50BF" w:rsidRPr="00BF50BF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12</w:t>
            </w:r>
            <w:r w:rsidRPr="00A634D4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27</w:t>
            </w:r>
            <w:r w:rsidRPr="00A634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6706EBDF" w14:textId="47F9B5DF" w:rsidR="00BF50BF" w:rsidRDefault="00BF50BF" w:rsidP="00BF50B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proofErr w:type="gramStart"/>
            <w:r w:rsidRPr="00B6778B">
              <w:rPr>
                <w:rFonts w:cs="Times New Roman"/>
                <w:sz w:val="18"/>
                <w:szCs w:val="18"/>
              </w:rPr>
              <w:t>час</w:t>
            </w:r>
            <w:proofErr w:type="gram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D7587E" w:rsidRDefault="005D1FE4" w:rsidP="001D13D3">
      <w:pPr>
        <w:rPr>
          <w:rFonts w:cs="Times New Roman"/>
          <w:sz w:val="18"/>
          <w:szCs w:val="1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F3DC2" w14:paraId="0BC1C045" w14:textId="77777777" w:rsidTr="00E42062">
        <w:tc>
          <w:tcPr>
            <w:tcW w:w="4785" w:type="dxa"/>
          </w:tcPr>
          <w:p w14:paraId="0A50297F" w14:textId="1E79077D" w:rsidR="005D1FE4" w:rsidRPr="002B3EFA" w:rsidRDefault="00926E58" w:rsidP="00E85283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Сатып алынатын </w:t>
            </w:r>
            <w:r w:rsidR="00E85283" w:rsidRPr="002B3EFA">
              <w:rPr>
                <w:rFonts w:cs="Times New Roman"/>
                <w:b/>
                <w:sz w:val="20"/>
                <w:szCs w:val="20"/>
                <w:lang w:val="kk-KZ"/>
              </w:rPr>
              <w:t>медициналық бұйымдардың</w:t>
            </w:r>
            <w:r w:rsidR="00F30940"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>қысқаша сипаттамасы және бағасы:</w:t>
            </w:r>
          </w:p>
        </w:tc>
        <w:tc>
          <w:tcPr>
            <w:tcW w:w="4786" w:type="dxa"/>
          </w:tcPr>
          <w:p w14:paraId="4054AEC6" w14:textId="65773F04" w:rsidR="005D1FE4" w:rsidRPr="002B3EFA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2B3EFA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2B3EFA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4"/>
        <w:gridCol w:w="851"/>
        <w:gridCol w:w="1559"/>
        <w:gridCol w:w="1418"/>
      </w:tblGrid>
      <w:tr w:rsidR="00E85283" w:rsidRPr="00B6778B" w14:paraId="10C4BD89" w14:textId="77777777" w:rsidTr="00166DD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6778B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14:paraId="240473B0" w14:textId="77777777" w:rsidR="00E85283" w:rsidRPr="00B6778B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  <w:proofErr w:type="gramEnd"/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14:paraId="59D6EE1E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166DDE" w:rsidRPr="00B6778B" w14:paraId="49581416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41743A20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1C5EEEE" w14:textId="00947978" w:rsidR="00166DDE" w:rsidRPr="009D22A4" w:rsidRDefault="00166DDE" w:rsidP="00166DD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 400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 тестов для автоматического анализатора свертываемости крови CS-2500 в комплекте с принадлежностями к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Sysmеx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Corporation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5B04A8A4" w:rsidR="00166DDE" w:rsidRPr="003859F8" w:rsidRDefault="00166DDE" w:rsidP="00166DDE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Орам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/ 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5CC67052" w:rsidR="00166DDE" w:rsidRPr="00B6778B" w:rsidRDefault="00166DDE" w:rsidP="00166D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43CFEFCD" w:rsidR="00166DDE" w:rsidRPr="00B6778B" w:rsidRDefault="00166DDE" w:rsidP="00166D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  <w:lang w:val="en-US"/>
              </w:rPr>
              <w:t>38 920,00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1B2F6889" w:rsidR="00166DDE" w:rsidRPr="00B6778B" w:rsidRDefault="00166DDE" w:rsidP="00166D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  <w:lang w:val="en-US"/>
              </w:rPr>
              <w:t>116 760,00</w:t>
            </w:r>
          </w:p>
        </w:tc>
      </w:tr>
      <w:tr w:rsidR="00166DDE" w:rsidRPr="00B6778B" w14:paraId="76EEF7C1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0923ED28" w14:textId="22E6BF1C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424DD738" w14:textId="1ACFB6EC" w:rsidR="00166DDE" w:rsidRPr="009D22A4" w:rsidRDefault="00166DDE" w:rsidP="00684E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Промывочный раствор, флакон (600 мл) для анализатора газов крови ABL800 FLEX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466852" w14:textId="585AF1FC" w:rsidR="00166DDE" w:rsidRPr="003859F8" w:rsidRDefault="00166DDE" w:rsidP="00166DDE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құты</w:t>
            </w:r>
            <w:proofErr w:type="spellEnd"/>
            <w:proofErr w:type="gramEnd"/>
            <w:r w:rsidRPr="00693AB4">
              <w:rPr>
                <w:color w:val="000000"/>
                <w:sz w:val="18"/>
                <w:szCs w:val="18"/>
              </w:rPr>
              <w:t>/флакон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B1CD7A0" w14:textId="34022EE2" w:rsidR="00166DDE" w:rsidRPr="00B6778B" w:rsidRDefault="00166DDE" w:rsidP="00166D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88D3B0" w14:textId="52CD61E0" w:rsidR="00166DDE" w:rsidRPr="00B6778B" w:rsidRDefault="00166DDE" w:rsidP="00166D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97 705,00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82DFA7A" w14:textId="2C30BD0C" w:rsidR="00166DDE" w:rsidRPr="00B6778B" w:rsidRDefault="00166DDE" w:rsidP="00166D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1 954 100,00</w:t>
            </w:r>
          </w:p>
        </w:tc>
      </w:tr>
      <w:tr w:rsidR="00166DDE" w:rsidRPr="00B6778B" w14:paraId="71F48F81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6B5CBB9D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5F9662AE" w14:textId="4E322B98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Цитомегаловирус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ЦМВ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IgG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антител к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цитомегаловирусу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на 100 определений для иммунохимического анализатора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Architect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75495BD" w14:textId="75BF3710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/Набор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301360B" w14:textId="43B060A4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08341A7" w14:textId="607848EB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167 286,00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67A6EAD" w14:textId="01925B4E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167 286,00</w:t>
            </w:r>
          </w:p>
        </w:tc>
      </w:tr>
      <w:tr w:rsidR="00166DDE" w:rsidRPr="00B6778B" w14:paraId="4F2EF4A9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3A93984E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4B46BA15" w14:textId="576CCE29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Такролимус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 реагент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  на 100 определений для иммунохимического анализатора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Architect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35D97FC" w14:textId="042DE1C6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/Набор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9C8F03" w14:textId="6F3B2B77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2758A7" w14:textId="4BFF5975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339 245,00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580F474" w14:textId="1E17C6A1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1 696 225,00</w:t>
            </w:r>
          </w:p>
        </w:tc>
      </w:tr>
      <w:tr w:rsidR="00166DDE" w:rsidRPr="00B6778B" w14:paraId="190881EA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37F42BF0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2D467187" w14:textId="766CA873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693AB4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 501) C-реактивный белок CRР LX на 300 тестов (на 300 определений)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27E0BA2" w14:textId="418737B1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AB4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14:paraId="3890F32F" w14:textId="7B705B23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BCE27CC" w14:textId="206545C1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194 000,00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ED97FCC" w14:textId="6831B04A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970 000,00</w:t>
            </w:r>
          </w:p>
        </w:tc>
      </w:tr>
      <w:tr w:rsidR="00166DDE" w:rsidRPr="00B6778B" w14:paraId="3D247C2D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09C38F1B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2E55A433" w14:textId="3BBCA456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693AB4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 501) Альфа- амилаза AMYL 2 на 300 тестов,  (на 300 определений)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890482" w14:textId="4EF956DA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AB4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14:paraId="717EA9BE" w14:textId="4E85BA58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342D8E8" w14:textId="7B4A90F1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33 300,00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68811EC" w14:textId="76A7589F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166 500,00</w:t>
            </w:r>
          </w:p>
        </w:tc>
      </w:tr>
      <w:tr w:rsidR="00166DDE" w:rsidRPr="00B6778B" w14:paraId="433A2FE7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1E4143FC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48D9ECE5" w14:textId="2A4C96AC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693AB4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B61D891" w14:textId="573D1196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AB4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14:paraId="23BE288A" w14:textId="5CD87DCF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1260555" w14:textId="785F51A0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12 400,00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AA7677E" w14:textId="7BCB68BF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322 400,00</w:t>
            </w:r>
          </w:p>
        </w:tc>
      </w:tr>
      <w:tr w:rsidR="00166DDE" w:rsidRPr="00B6778B" w14:paraId="43FCDC94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353C2C0D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072C869" w14:textId="56A6FDDE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693AB4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7F4E3F" w14:textId="5F662143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AB4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14:paraId="64E98227" w14:textId="6C16EB97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D330601" w14:textId="46590168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97A4D85" w14:textId="5F97CEDE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311 400,00</w:t>
            </w:r>
          </w:p>
        </w:tc>
      </w:tr>
      <w:tr w:rsidR="00166DDE" w:rsidRPr="00B6778B" w14:paraId="513C7E08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1BDF4B25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0528A5B" w14:textId="18BBDDD6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693AB4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 501): Глюкоза GLUCL на 800 тестов,  (на 800 определений)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9929C93" w14:textId="7A3A27EA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AB4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14:paraId="688D933C" w14:textId="241A3FA9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A564ADA" w14:textId="1E08EF6B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34 400,00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B824FCE" w14:textId="57D5981D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172 000,00</w:t>
            </w:r>
          </w:p>
        </w:tc>
      </w:tr>
      <w:tr w:rsidR="00166DDE" w:rsidRPr="00B6778B" w14:paraId="0EB09B13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315B6EB6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1BB309BF" w14:textId="2839E3FF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693AB4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 501):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Креатинин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CREAJ на 700 тестов,  (на 700 определений)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899EC2" w14:textId="4FEC7B09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AB4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14:paraId="409C3F0F" w14:textId="3E38FA76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52C0056" w14:textId="2AED53D0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415AD92" w14:textId="6DB52F52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115 200,00</w:t>
            </w:r>
          </w:p>
        </w:tc>
      </w:tr>
      <w:tr w:rsidR="00166DDE" w:rsidRPr="00B6778B" w14:paraId="3CF43C5D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1B137F87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56101591" w14:textId="00BC92DB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693AB4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 501): Мочевина UREAL на 500 тестов,  (на 500 определений)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2183D02" w14:textId="5D5A9195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AB4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14:paraId="36E94DB1" w14:textId="768FD98B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F566295" w14:textId="07999BB1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010BB75" w14:textId="2AF681E2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127 500,00</w:t>
            </w:r>
          </w:p>
        </w:tc>
      </w:tr>
      <w:tr w:rsidR="00166DDE" w:rsidRPr="00B6778B" w14:paraId="6A90A9ED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3D3CA9CE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5B4B1C2D" w14:textId="4AD3CB41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693AB4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B84CA1B" w14:textId="3A295481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93AB4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14:paraId="604A4CE4" w14:textId="5E9BB52C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D74B400" w14:textId="168250CC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12A306E" w14:textId="20626699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19 200,00</w:t>
            </w:r>
          </w:p>
        </w:tc>
      </w:tr>
      <w:tr w:rsidR="00166DDE" w:rsidRPr="00B6778B" w14:paraId="573DFDDD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3D9D2275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503FC33C" w14:textId="0040FB0E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Промыв раствор, детергент 2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Acid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wash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Solution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3AB4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31C1BE" w14:textId="57EBED8D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/Набор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4E273E9" w14:textId="11050D2C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E857BF9" w14:textId="09D715C6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62 400,00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1F1E07E" w14:textId="1B6AF6AB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62 400,00</w:t>
            </w:r>
          </w:p>
        </w:tc>
      </w:tr>
      <w:tr w:rsidR="00166DDE" w:rsidRPr="00B6778B" w14:paraId="68923CFB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653B9173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3947D546" w14:textId="4D3A5022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Кассета: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Тропонин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T высокочувствительный STAT на 100 тестов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Troponin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T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hs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STAT,100 </w:t>
            </w: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tests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,  на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 100 определений к ИФА анализатору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CDB8DF" w14:textId="51211838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/Набор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639FFB4" w14:textId="7DAAFD73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A137B2E" w14:textId="23CA0E34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8693E92" w14:textId="198FAA40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608 000,00</w:t>
            </w:r>
          </w:p>
        </w:tc>
      </w:tr>
      <w:tr w:rsidR="00166DDE" w:rsidRPr="00B6778B" w14:paraId="730F78F1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0AA8028F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A76D0B5" w14:textId="339FBA1A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Elecsys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: Альфа Фито Протеин на 100 тестов AFP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Gen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, 1,1 Smoll,100 </w:t>
            </w: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tests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,  на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 100 определений  к ИФА анализатору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B31A8C3" w14:textId="11B3375D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/Набор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B242817" w14:textId="235F9BF1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522DFE2" w14:textId="25EE2606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64 500,00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5F3BFBD" w14:textId="3C3573DF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193 500,00</w:t>
            </w:r>
          </w:p>
        </w:tc>
      </w:tr>
      <w:tr w:rsidR="00166DDE" w:rsidRPr="00B6778B" w14:paraId="05CE7F7E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C49A0A7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3FA50621" w14:textId="5DFDC057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Elecsys:Анти</w:t>
            </w:r>
            <w:proofErr w:type="gramEnd"/>
            <w:r w:rsidRPr="00693AB4">
              <w:rPr>
                <w:color w:val="000000"/>
                <w:sz w:val="18"/>
                <w:szCs w:val="18"/>
              </w:rPr>
              <w:t>-тиреопироксидаза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на 100 тестов   к ИФА анализатору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E8E333" w14:textId="6AC8B2F4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/Набор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960F2BE" w14:textId="30862351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74D4D58" w14:textId="2505AAD3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B9D1F81" w14:textId="657736AB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194 000,00</w:t>
            </w:r>
          </w:p>
        </w:tc>
      </w:tr>
      <w:tr w:rsidR="00166DDE" w:rsidRPr="00B6778B" w14:paraId="170CC465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70A84888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02F37FDF" w14:textId="5FD7158E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Расходные материалы Очищающий раствор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CleanCell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6*380 мл к ИФА анализатору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27D483B" w14:textId="5962D1A2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қораб</w:t>
            </w:r>
            <w:proofErr w:type="spellEnd"/>
            <w:proofErr w:type="gramEnd"/>
            <w:r w:rsidRPr="00693AB4">
              <w:rPr>
                <w:color w:val="000000"/>
                <w:sz w:val="18"/>
                <w:szCs w:val="18"/>
              </w:rPr>
              <w:t>/коробка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B48DE72" w14:textId="3F112704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58A922F" w14:textId="1012A544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28 500,00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016D596" w14:textId="365AC8E4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166DDE" w:rsidRPr="00B6778B" w14:paraId="0E50F353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362214CB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54846F82" w14:textId="5293726B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Расходные материалы Буферный раствор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sell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6*380 мл к ИФА анализатору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7B6BE2B" w14:textId="7D9966B5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қораб</w:t>
            </w:r>
            <w:proofErr w:type="spellEnd"/>
            <w:proofErr w:type="gramEnd"/>
            <w:r w:rsidRPr="00693AB4">
              <w:rPr>
                <w:color w:val="000000"/>
                <w:sz w:val="18"/>
                <w:szCs w:val="18"/>
              </w:rPr>
              <w:t>/коробка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8AA5FB3" w14:textId="010626EB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B26150A" w14:textId="640FADE8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30 300,00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F02179E" w14:textId="488F8163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181 800,00</w:t>
            </w:r>
          </w:p>
        </w:tc>
      </w:tr>
      <w:tr w:rsidR="00166DDE" w:rsidRPr="00B6778B" w14:paraId="1C9982B0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54C1E61F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2DA60A54" w14:textId="483769D0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Расходные материалы Промывочный раствор 1*500 мл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Sys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Wash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Elecsys,cobas</w:t>
            </w:r>
            <w:proofErr w:type="spellEnd"/>
            <w:proofErr w:type="gramEnd"/>
            <w:r w:rsidRPr="00693AB4">
              <w:rPr>
                <w:color w:val="000000"/>
                <w:sz w:val="18"/>
                <w:szCs w:val="18"/>
              </w:rPr>
              <w:t xml:space="preserve"> e 1*500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к ИФА анализатору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5E714E7" w14:textId="10E31C2B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93AB4">
              <w:rPr>
                <w:color w:val="000000"/>
                <w:sz w:val="18"/>
                <w:szCs w:val="18"/>
              </w:rPr>
              <w:t>құты</w:t>
            </w:r>
            <w:proofErr w:type="spellEnd"/>
            <w:proofErr w:type="gramEnd"/>
            <w:r w:rsidRPr="00693AB4">
              <w:rPr>
                <w:color w:val="000000"/>
                <w:sz w:val="18"/>
                <w:szCs w:val="18"/>
              </w:rPr>
              <w:t>/флакон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D19BA56" w14:textId="73BC5BA9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F0E359A" w14:textId="1C154B85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20 900,00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F2B5645" w14:textId="77FF0128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83 600,00</w:t>
            </w:r>
          </w:p>
        </w:tc>
      </w:tr>
      <w:tr w:rsidR="00166DDE" w:rsidRPr="00B6778B" w14:paraId="31E3235B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03903810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4EC363CD" w14:textId="71D01CAB" w:rsidR="00166DDE" w:rsidRPr="00693AB4" w:rsidRDefault="00166DDE" w:rsidP="00166DDE">
            <w:pPr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 xml:space="preserve">Кассета: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HBsAg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гепатит В на 100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определний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  к ИФА анализатору </w:t>
            </w:r>
            <w:proofErr w:type="spellStart"/>
            <w:r w:rsidRPr="00693AB4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D88CD6" w14:textId="57E8B851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/Набор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69FADA7" w14:textId="15F3E05B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6D5DD8D" w14:textId="47F2D03C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5A123B2" w14:textId="492B6B15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166DDE" w:rsidRPr="00B6778B" w14:paraId="4C3D76CA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28CC0D3E" w14:textId="77777777" w:rsidR="00166DDE" w:rsidRPr="00166DDE" w:rsidRDefault="00166DDE" w:rsidP="00166DD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3724C4C9" w14:textId="6D0303AA" w:rsidR="00166DDE" w:rsidRPr="00166DDE" w:rsidRDefault="00166DDE" w:rsidP="00166DDE">
            <w:pPr>
              <w:rPr>
                <w:color w:val="000000"/>
                <w:sz w:val="18"/>
                <w:szCs w:val="18"/>
                <w:lang w:val="kk-KZ"/>
              </w:rPr>
            </w:pPr>
            <w:r w:rsidRPr="00693AB4">
              <w:rPr>
                <w:color w:val="000000"/>
                <w:sz w:val="18"/>
                <w:szCs w:val="18"/>
                <w:lang w:val="kk-KZ"/>
              </w:rPr>
              <w:t>Кассета Anti-HCV Gen2 Small Elecsys,cobas e 100 tests на 100 определений  к ИФА анализатору Cobas e 411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89E34E1" w14:textId="27B07A42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93AB4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693AB4">
              <w:rPr>
                <w:color w:val="000000"/>
                <w:sz w:val="18"/>
                <w:szCs w:val="18"/>
              </w:rPr>
              <w:t>/Набор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85F57C2" w14:textId="384F063A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CB673E9" w14:textId="4AAEA727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259 000,00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E898199" w14:textId="294F52F8" w:rsidR="00166DDE" w:rsidRPr="00693AB4" w:rsidRDefault="00166DDE" w:rsidP="00166DDE">
            <w:pPr>
              <w:jc w:val="center"/>
              <w:rPr>
                <w:color w:val="000000"/>
                <w:sz w:val="18"/>
                <w:szCs w:val="18"/>
              </w:rPr>
            </w:pPr>
            <w:r w:rsidRPr="00693AB4">
              <w:rPr>
                <w:color w:val="000000"/>
                <w:sz w:val="18"/>
                <w:szCs w:val="18"/>
              </w:rPr>
              <w:t>1 295 000,00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F3DC2" w14:paraId="38706DAC" w14:textId="77777777" w:rsidTr="00F073F9">
        <w:tc>
          <w:tcPr>
            <w:tcW w:w="4644" w:type="dxa"/>
          </w:tcPr>
          <w:p w14:paraId="1E138811" w14:textId="65E4C852" w:rsidR="00926E58" w:rsidRPr="001F3DC2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F3DC2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850"/>
        <w:gridCol w:w="709"/>
        <w:gridCol w:w="1134"/>
        <w:gridCol w:w="992"/>
        <w:gridCol w:w="850"/>
        <w:gridCol w:w="992"/>
        <w:gridCol w:w="993"/>
      </w:tblGrid>
      <w:tr w:rsidR="000816AC" w:rsidRPr="00AA6A3A" w14:paraId="3CCC544A" w14:textId="6CD15807" w:rsidTr="000816AC">
        <w:trPr>
          <w:trHeight w:val="57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BF15F5" w14:textId="77777777" w:rsidR="000816AC" w:rsidRPr="00F13EE7" w:rsidRDefault="000816AC" w:rsidP="000816AC">
            <w:pPr>
              <w:rPr>
                <w:rFonts w:cs="Times New Roman"/>
                <w:b/>
                <w:sz w:val="16"/>
                <w:szCs w:val="16"/>
              </w:rPr>
            </w:pPr>
            <w:r w:rsidRPr="00F13EE7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14:paraId="56BA4818" w14:textId="77777777" w:rsidR="000816AC" w:rsidRPr="00F13EE7" w:rsidRDefault="000816AC" w:rsidP="000816AC">
            <w:pPr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F13EE7">
              <w:rPr>
                <w:rFonts w:cs="Times New Roman"/>
                <w:b/>
                <w:sz w:val="16"/>
                <w:szCs w:val="16"/>
              </w:rPr>
              <w:t>лота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36CB6BB" w14:textId="4DA825F3" w:rsidR="000816AC" w:rsidRPr="00F13EE7" w:rsidRDefault="000816AC" w:rsidP="000816AC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13EE7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F13EE7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AB00FF" w14:textId="38A37AF0" w:rsidR="000816AC" w:rsidRPr="00F13EE7" w:rsidRDefault="000816AC" w:rsidP="000816AC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бірлігі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/ Ед. измерения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52010B" w14:textId="7385BBA6" w:rsidR="000816AC" w:rsidRPr="00F13EE7" w:rsidRDefault="000816AC" w:rsidP="000816AC">
            <w:pPr>
              <w:ind w:left="-108" w:right="-108"/>
              <w:rPr>
                <w:rFonts w:cs="Times New Roman"/>
                <w:b/>
                <w:sz w:val="16"/>
                <w:szCs w:val="16"/>
              </w:rPr>
            </w:pPr>
            <w:r w:rsidRPr="00F13EE7">
              <w:rPr>
                <w:rFonts w:cs="Times New Roman"/>
                <w:b/>
                <w:sz w:val="16"/>
                <w:szCs w:val="16"/>
              </w:rPr>
              <w:t>Саны/</w:t>
            </w:r>
            <w:r w:rsidRPr="00F13EE7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F13EE7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FEC4A1" w14:textId="77777777" w:rsidR="000816AC" w:rsidRPr="00F13EE7" w:rsidRDefault="000816AC" w:rsidP="000816AC">
            <w:pPr>
              <w:rPr>
                <w:rFonts w:cs="Times New Roman"/>
                <w:b/>
                <w:sz w:val="16"/>
                <w:szCs w:val="16"/>
              </w:rPr>
            </w:pPr>
            <w:r w:rsidRPr="00F13EE7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992" w:type="dxa"/>
            <w:shd w:val="clear" w:color="000000" w:fill="FFFFFF"/>
          </w:tcPr>
          <w:p w14:paraId="6CB380B5" w14:textId="393D742E" w:rsidR="000816AC" w:rsidRPr="00F13EE7" w:rsidRDefault="000816AC" w:rsidP="000816AC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Pr="00F13EE7">
              <w:rPr>
                <w:rFonts w:cs="Times New Roman"/>
                <w:b/>
                <w:sz w:val="16"/>
                <w:szCs w:val="16"/>
                <w:lang w:val="kk-KZ"/>
              </w:rPr>
              <w:t>Нур-Торе</w:t>
            </w:r>
            <w:r w:rsidRPr="00F13EE7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000000" w:fill="FFFFFF"/>
          </w:tcPr>
          <w:p w14:paraId="3805735E" w14:textId="7270FF59" w:rsidR="000816AC" w:rsidRPr="00F13EE7" w:rsidRDefault="000816AC" w:rsidP="000816AC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Pr="00F13EE7">
              <w:rPr>
                <w:rFonts w:cs="Times New Roman"/>
                <w:b/>
                <w:sz w:val="16"/>
                <w:szCs w:val="16"/>
                <w:lang w:val="en-US"/>
              </w:rPr>
              <w:t>IVD</w:t>
            </w:r>
            <w:r w:rsidRPr="00F13EE7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F13EE7">
              <w:rPr>
                <w:rFonts w:cs="Times New Roman"/>
                <w:b/>
                <w:sz w:val="16"/>
                <w:szCs w:val="16"/>
                <w:lang w:val="en-US"/>
              </w:rPr>
              <w:t>Holding</w:t>
            </w:r>
            <w:r w:rsidRPr="00F13EE7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14:paraId="2D92A1B6" w14:textId="31408217" w:rsidR="000816AC" w:rsidRPr="00F13EE7" w:rsidRDefault="000816AC" w:rsidP="000816AC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Pr="00F13EE7">
              <w:rPr>
                <w:rFonts w:cs="Times New Roman"/>
                <w:b/>
                <w:sz w:val="16"/>
                <w:szCs w:val="16"/>
                <w:lang w:val="kk-KZ"/>
              </w:rPr>
              <w:t>ТЦ Мастер</w:t>
            </w:r>
            <w:r w:rsidRPr="00F13EE7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3" w:type="dxa"/>
            <w:shd w:val="clear" w:color="000000" w:fill="FFFFFF"/>
          </w:tcPr>
          <w:p w14:paraId="362B001A" w14:textId="2F603F95" w:rsidR="000816AC" w:rsidRPr="00F13EE7" w:rsidRDefault="000816AC" w:rsidP="000816AC">
            <w:pPr>
              <w:ind w:right="-107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3EE7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F13EE7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Pr="00F13EE7">
              <w:rPr>
                <w:rFonts w:cs="Times New Roman"/>
                <w:b/>
                <w:sz w:val="16"/>
                <w:szCs w:val="16"/>
                <w:lang w:val="kk-KZ"/>
              </w:rPr>
              <w:t>Дельрус Казахстан</w:t>
            </w:r>
            <w:r w:rsidRPr="00F13EE7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8A7136" w:rsidRPr="00AA6A3A" w14:paraId="011DE89D" w14:textId="2AAFAD27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05CA6A29" w14:textId="733EFD4B" w:rsidR="008A7136" w:rsidRPr="00AA6A3A" w:rsidRDefault="008A7136" w:rsidP="008A7136">
            <w:pPr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157611D" w14:textId="3E4C14C6" w:rsidR="008A7136" w:rsidRPr="00AE11FF" w:rsidRDefault="008A7136" w:rsidP="008A71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proofErr w:type="gramStart"/>
            <w:r w:rsidRPr="00AE11FF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 400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 тестов для автоматического анализатора свертываемости крови CS-2500 в комплекте с принадлежностями к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Sysmеx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Corporation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035748B" w14:textId="07C5C820" w:rsidR="008A7136" w:rsidRPr="00AE11FF" w:rsidRDefault="008A7136" w:rsidP="008A7136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t>Орам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/ упаковка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C4DEA0" w14:textId="499B1F15" w:rsidR="008A7136" w:rsidRPr="00AE11FF" w:rsidRDefault="008A7136" w:rsidP="008A71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49D69B4" w14:textId="36C4B916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  <w:lang w:val="en-US"/>
              </w:rPr>
              <w:t>38 920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C3B86D6" w14:textId="5444A6BB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148093B" w14:textId="68BD4632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38920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1AD5F19" w14:textId="403AEC71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092847D" w14:textId="2F8D83B1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3F30B88E" w14:textId="7FF188A5" w:rsidTr="001C2EEF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75DF58A8" w14:textId="528814B1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145910B5" w14:textId="3AC56C31" w:rsidR="008A7136" w:rsidRPr="00AE11FF" w:rsidRDefault="008A7136" w:rsidP="007C6D8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Промывочный раствор, флакон (600 мл) был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допик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на 60фл для анализатора газов крови ABL800 FLEX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7E2A3FB" w14:textId="0E49C96A" w:rsidR="008A7136" w:rsidRPr="00AE11FF" w:rsidRDefault="008A7136" w:rsidP="008A7136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11FF">
              <w:rPr>
                <w:color w:val="000000"/>
                <w:sz w:val="18"/>
                <w:szCs w:val="18"/>
              </w:rPr>
              <w:t>құты</w:t>
            </w:r>
            <w:proofErr w:type="spellEnd"/>
            <w:proofErr w:type="gramEnd"/>
            <w:r w:rsidRPr="00AE11FF">
              <w:rPr>
                <w:color w:val="000000"/>
                <w:sz w:val="18"/>
                <w:szCs w:val="18"/>
              </w:rPr>
              <w:t>/флакон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CB99ED1" w14:textId="3FC0AC71" w:rsidR="008A7136" w:rsidRPr="00AE11FF" w:rsidRDefault="008A7136" w:rsidP="008A71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80E681B" w14:textId="33FD4C39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97 705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BBCA5C7" w14:textId="6301F291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5E8E02" w14:textId="5CC399A3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397B19F" w14:textId="56E9F0CF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0142EF4" w14:textId="67C812EF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97705</w:t>
            </w:r>
          </w:p>
        </w:tc>
      </w:tr>
      <w:tr w:rsidR="008A7136" w:rsidRPr="00AA6A3A" w14:paraId="3B053EDD" w14:textId="515A4126" w:rsidTr="001C2EEF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0F9E320E" w14:textId="498E9A40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2F302DA" w14:textId="534985D7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t>Цитомегаловирус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ЦМВ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IgG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антител к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цитомегаловирусу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на 100 определений для иммунохимического анализатора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Architect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I 1000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FC12EC5" w14:textId="58954643" w:rsidR="008A7136" w:rsidRPr="00AE11FF" w:rsidRDefault="00F13EE7" w:rsidP="008A71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/н</w:t>
            </w:r>
            <w:r w:rsidR="008A7136" w:rsidRPr="00AE11FF">
              <w:rPr>
                <w:color w:val="000000"/>
                <w:sz w:val="18"/>
                <w:szCs w:val="18"/>
              </w:rPr>
              <w:t>абор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12C4A02" w14:textId="14DACEBD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B1FEDBF" w14:textId="1761E846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167 286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2F062A5" w14:textId="018B3D95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167286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522898D" w14:textId="55C6400A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53416E9" w14:textId="3193A157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E82280C" w14:textId="07A16684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615A364A" w14:textId="324714A6" w:rsidTr="001C2EEF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51293598" w14:textId="7EC05BD1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34F9E5A8" w14:textId="5CE1A353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11FF">
              <w:rPr>
                <w:color w:val="000000"/>
                <w:sz w:val="18"/>
                <w:szCs w:val="18"/>
              </w:rPr>
              <w:t>Такролимус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 реагент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  на 100 определений для иммунохимического анализатора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Architect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I 1000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1EC24E9" w14:textId="53BFA4A6" w:rsidR="008A7136" w:rsidRPr="00AE11FF" w:rsidRDefault="008A7136" w:rsidP="00F13E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/</w:t>
            </w:r>
            <w:r w:rsidR="00F13EE7" w:rsidRPr="00AE11FF">
              <w:rPr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абор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0B50F868" w14:textId="57F6F10F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5667B4" w14:textId="1F845239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339 245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D52786" w14:textId="55E69C9C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339245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BC18777" w14:textId="0B12F187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C5D9F89" w14:textId="70C88E40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BEFF84C" w14:textId="59060EA8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21BC7609" w14:textId="70156D33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28A10C68" w14:textId="348F6793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565B956" w14:textId="5608F516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AE11FF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 501) C-реактивный белок CRР LX на 300 тестов (на 300 определений)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A8403FD" w14:textId="30AF2136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11FF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14:paraId="6599E264" w14:textId="4999F4C0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B8EFC3B" w14:textId="32531CA4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194 000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76F3E79" w14:textId="586D21F7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6E440B1" w14:textId="6DBCDFE3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46ECE4B" w14:textId="01E5FB88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50900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10B2575" w14:textId="6EEF51D1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29C3230E" w14:textId="23A8AA96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2934DB07" w14:textId="7C85359C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6BC353D0" w14:textId="3E24885C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AE11FF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 501) Альфа- амилаза AMYL 2 на 300 тестов,  (на 300 определений)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F733C36" w14:textId="1A8FF4B6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11FF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14:paraId="42D9C1F4" w14:textId="1FABA1F1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6F27B6B" w14:textId="397E8171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33 300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F75802E" w14:textId="6E22AEB8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58D8D86" w14:textId="4395BA0F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EB8348A" w14:textId="620FBCF8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27000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8A4EEFF" w14:textId="10D16909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70A9E924" w14:textId="0A717BF4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6A16E007" w14:textId="1D669F41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0A9D6149" w14:textId="4161FF44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AE11FF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2A9E0D8" w14:textId="678AB0D6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11FF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14:paraId="5A23A891" w14:textId="4EAEF97A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506A44F" w14:textId="453898ED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12 400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ADA382E" w14:textId="4CB74A2C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FCF2431" w14:textId="2EA553E6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84CAE30" w14:textId="17907733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10600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EACEA2A" w14:textId="1C398E6F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2262775D" w14:textId="0AA01707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4DDFBE77" w14:textId="04F84494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1B9AB61F" w14:textId="3689F02B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AE11FF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9498367" w14:textId="64CF831A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11FF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14:paraId="3442CC7A" w14:textId="07E5625A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AB37CB" w14:textId="354E91CE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17 300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0882790" w14:textId="671A06EC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5B60234" w14:textId="6C887A53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27D3AFC" w14:textId="4AC9C640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10300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AA02788" w14:textId="39C76815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4DDD4628" w14:textId="2D196AE4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077D14D0" w14:textId="436B8B93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64941E51" w14:textId="3CD94A7E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AE11FF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 501): Глюкоза GLUCL на 800 тестов,  (на 800 определений)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15BF074" w14:textId="770B9511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11FF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14:paraId="5F24629D" w14:textId="1262B074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E7FE06" w14:textId="447DC245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34 400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C08EF9E" w14:textId="31F0B782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D53473B" w14:textId="7ABCD3CF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D6460F8" w14:textId="3916A762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21400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326888A" w14:textId="352025C1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4638112A" w14:textId="3850FC90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3DC9F9F4" w14:textId="0FD66DE2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0886D4D8" w14:textId="6FF740C9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AE11FF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 501):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Креатинин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CREAJ на 700 тестов,  (на 700 определений)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7A015B8" w14:textId="7B7D58A0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11FF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14:paraId="136E16FA" w14:textId="12BDEAD6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743437" w14:textId="1792A617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19 200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203C8B7" w14:textId="2D553E12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75F6054" w14:textId="3A3B1407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EAFA69A" w14:textId="077C2212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19200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5F5DF68" w14:textId="4033B1A1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29FEFBF6" w14:textId="14884A03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2DF6B423" w14:textId="304224A9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6C6961BA" w14:textId="3614DAD1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AE11FF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 501): Мочевина UREAL на 500 тестов,  (на 500 определений)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1D7138F" w14:textId="591B6495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11FF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14:paraId="53161982" w14:textId="0AEE8E1C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DD71C9" w14:textId="0C4B8BC7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25 500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62F286" w14:textId="1A3243F5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20D32F0" w14:textId="1565D903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6DE393D" w14:textId="7F42F4BE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14900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B8C1587" w14:textId="46B4271E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78FAC0CB" w14:textId="5822BDF9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761B6F8B" w14:textId="74852BA7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15932FF2" w14:textId="46C32C9F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для </w:t>
            </w:r>
            <w:proofErr w:type="gramStart"/>
            <w:r w:rsidRPr="00AE11FF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AA3018C" w14:textId="4893B9C9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11FF">
              <w:rPr>
                <w:color w:val="000000"/>
                <w:sz w:val="18"/>
                <w:szCs w:val="18"/>
              </w:rPr>
              <w:t>кассета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14:paraId="6A7F3F42" w14:textId="664B2EAE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AABA4B" w14:textId="493E0046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19 200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6B997A0" w14:textId="084D7AC0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6B68EE8" w14:textId="1F6ACADA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5DA044C" w14:textId="5EF4E263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19200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7DEE2CE" w14:textId="739DDDF5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F13EE7" w:rsidRPr="00AA6A3A" w14:paraId="08416B47" w14:textId="4CAFE183" w:rsidTr="00F13EE7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41C48573" w14:textId="33E891B7" w:rsidR="00F13EE7" w:rsidRPr="00AA6A3A" w:rsidRDefault="00F13EE7" w:rsidP="00F13EE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2B407288" w14:textId="50BD3020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Промыв раствор, детергент 2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Acid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wash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Solution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E11FF">
              <w:rPr>
                <w:color w:val="000000"/>
                <w:sz w:val="18"/>
                <w:szCs w:val="18"/>
              </w:rPr>
              <w:t>6000  (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Биохимический модуль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c 501)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2769881" w14:textId="11668463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/</w:t>
            </w:r>
            <w:r w:rsidRPr="00AE11FF">
              <w:rPr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абор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7AC5898A" w14:textId="6F622F03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73A7CEE" w14:textId="6A9D52FF" w:rsidR="00F13EE7" w:rsidRPr="00AE11FF" w:rsidRDefault="00F13EE7" w:rsidP="00F13EE7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62 400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9D76B6F" w14:textId="0A58F2B9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B761580" w14:textId="11645A48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2247C98" w14:textId="51E8430A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62000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26B2EEB" w14:textId="5660AA07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F13EE7" w:rsidRPr="00AA6A3A" w14:paraId="5E344AE3" w14:textId="34F3960F" w:rsidTr="00F13EE7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15B2B8AF" w14:textId="7C2AF09E" w:rsidR="00F13EE7" w:rsidRPr="00AA6A3A" w:rsidRDefault="00F13EE7" w:rsidP="00F13EE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0463CE0C" w14:textId="1729C8EC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Кассета: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Тропонин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T высокочувствительный STAT на 100 тестов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Troponin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T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hs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STAT,100 </w:t>
            </w:r>
            <w:proofErr w:type="spellStart"/>
            <w:proofErr w:type="gramStart"/>
            <w:r w:rsidRPr="00AE11FF">
              <w:rPr>
                <w:color w:val="000000"/>
                <w:sz w:val="18"/>
                <w:szCs w:val="18"/>
              </w:rPr>
              <w:lastRenderedPageBreak/>
              <w:t>tests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,  на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 100 определений к ИФА анализатору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3E445E1" w14:textId="6082BCEB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lastRenderedPageBreak/>
              <w:t>Жинақ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/</w:t>
            </w:r>
            <w:r w:rsidRPr="00AE11FF">
              <w:rPr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абор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67597FF5" w14:textId="6269B18A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F8ED52F" w14:textId="3085EB1C" w:rsidR="00F13EE7" w:rsidRPr="00AE11FF" w:rsidRDefault="00F13EE7" w:rsidP="00F13EE7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152 000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5955D97" w14:textId="5567AEC0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E1A0B9" w14:textId="05A7DE49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F57D550" w14:textId="14074487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140000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FD08920" w14:textId="75DCB6BF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F13EE7" w:rsidRPr="00AA6A3A" w14:paraId="2FEACB2F" w14:textId="7E297BFE" w:rsidTr="00F13EE7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72C659C0" w14:textId="165DE71F" w:rsidR="00F13EE7" w:rsidRPr="00AA6A3A" w:rsidRDefault="00F13EE7" w:rsidP="00F13EE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lastRenderedPageBreak/>
              <w:t>15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3E6E08E5" w14:textId="5D818AA9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Elecsys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: Альфа Фито Протеин на 100 тестов AFP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Gen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, 1,1 Smoll,100 </w:t>
            </w:r>
            <w:proofErr w:type="spellStart"/>
            <w:proofErr w:type="gramStart"/>
            <w:r w:rsidRPr="00AE11FF">
              <w:rPr>
                <w:color w:val="000000"/>
                <w:sz w:val="18"/>
                <w:szCs w:val="18"/>
              </w:rPr>
              <w:t>tests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,  на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 xml:space="preserve"> 100 определений  к ИФА анализатору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E5813A2" w14:textId="2F8AFAE2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/</w:t>
            </w:r>
            <w:r w:rsidRPr="00AE11FF">
              <w:rPr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абор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33F5EA8B" w14:textId="29869C73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C33B547" w14:textId="1C996F49" w:rsidR="00F13EE7" w:rsidRPr="00AE11FF" w:rsidRDefault="00F13EE7" w:rsidP="00F13EE7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64 500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6BE5C60" w14:textId="2F5BB712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9CF3C6" w14:textId="6C8B06C7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72CB13E" w14:textId="2C8FE6F2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53000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886CAB8" w14:textId="279BA60F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F13EE7" w:rsidRPr="00AA6A3A" w14:paraId="735E73AD" w14:textId="061BA9AC" w:rsidTr="00F13EE7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43BE78BE" w14:textId="2B783E58" w:rsidR="00F13EE7" w:rsidRPr="00AA6A3A" w:rsidRDefault="00F13EE7" w:rsidP="00F13EE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7D2AF640" w14:textId="09889E40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proofErr w:type="gramStart"/>
            <w:r w:rsidRPr="00AE11FF">
              <w:rPr>
                <w:color w:val="000000"/>
                <w:sz w:val="18"/>
                <w:szCs w:val="18"/>
              </w:rPr>
              <w:t>Elecsys:Анти</w:t>
            </w:r>
            <w:proofErr w:type="gramEnd"/>
            <w:r w:rsidRPr="00AE11FF">
              <w:rPr>
                <w:color w:val="000000"/>
                <w:sz w:val="18"/>
                <w:szCs w:val="18"/>
              </w:rPr>
              <w:t>-тиреопироксидаза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на 100 тестов   к ИФА анализатору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435DE4C" w14:textId="5C65F25B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/</w:t>
            </w:r>
            <w:r w:rsidRPr="00AE11FF">
              <w:rPr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абор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519DFCEC" w14:textId="7BC025E5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4FCD88E" w14:textId="454EFC64" w:rsidR="00F13EE7" w:rsidRPr="00AE11FF" w:rsidRDefault="00F13EE7" w:rsidP="00F13EE7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97 000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30C8BDC" w14:textId="193E669E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C5563B7" w14:textId="09F374B9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DFC4F08" w14:textId="5BD18EF5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77000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E48E121" w14:textId="11663E39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718ABE22" w14:textId="7CF1B149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2A585EBD" w14:textId="3EFC84A5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1B375533" w14:textId="72AD1C4E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Расходные материалы Очищающий раствор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CleanCell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6*380 мл к ИФА анализатору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4CC4584" w14:textId="7623C336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11FF">
              <w:rPr>
                <w:color w:val="000000"/>
                <w:sz w:val="18"/>
                <w:szCs w:val="18"/>
              </w:rPr>
              <w:t>қораб</w:t>
            </w:r>
            <w:proofErr w:type="spellEnd"/>
            <w:proofErr w:type="gramEnd"/>
            <w:r w:rsidRPr="00AE11FF">
              <w:rPr>
                <w:color w:val="000000"/>
                <w:sz w:val="18"/>
                <w:szCs w:val="18"/>
              </w:rPr>
              <w:t>/коробка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B93B771" w14:textId="5504D797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CF11F67" w14:textId="02355D00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28 500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4E727C" w14:textId="1A6DD5CB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F8FBBDA" w14:textId="02AF925C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6CF3BB0" w14:textId="248E7D16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26600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F2B38ED" w14:textId="0961682D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738951B0" w14:textId="1833BC3C" w:rsidTr="000816AC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476D1F8E" w14:textId="78797D23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0605630" w14:textId="760FC98A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Расходные материалы Буферный раствор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sell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6*380 мл к ИФА анализатору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AD753D7" w14:textId="56B3B608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11FF">
              <w:rPr>
                <w:color w:val="000000"/>
                <w:sz w:val="18"/>
                <w:szCs w:val="18"/>
              </w:rPr>
              <w:t>қораб</w:t>
            </w:r>
            <w:proofErr w:type="spellEnd"/>
            <w:proofErr w:type="gramEnd"/>
            <w:r w:rsidRPr="00AE11FF">
              <w:rPr>
                <w:color w:val="000000"/>
                <w:sz w:val="18"/>
                <w:szCs w:val="18"/>
              </w:rPr>
              <w:t>/коробка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B8483B" w14:textId="475B3755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5B7D334" w14:textId="543D8637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30 300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82E4E95" w14:textId="78E62CC8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D8D9FF" w14:textId="3150FBD4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04B685" w14:textId="0AD9C192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24500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3C8FF00" w14:textId="5EE3B170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8A7136" w:rsidRPr="00AA6A3A" w14:paraId="43D62734" w14:textId="20EB5521" w:rsidTr="00F13EE7">
        <w:trPr>
          <w:trHeight w:val="134"/>
        </w:trPr>
        <w:tc>
          <w:tcPr>
            <w:tcW w:w="426" w:type="dxa"/>
            <w:shd w:val="clear" w:color="000000" w:fill="FFFFFF"/>
            <w:noWrap/>
            <w:vAlign w:val="center"/>
          </w:tcPr>
          <w:p w14:paraId="34D27C74" w14:textId="67C2A7B1" w:rsidR="008A7136" w:rsidRPr="00AA6A3A" w:rsidRDefault="008A7136" w:rsidP="008A7136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09FD35B3" w14:textId="0399574C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Расходные материалы Промывочный раствор 1*500 мл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Sys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Wash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Elecsys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,</w:t>
            </w:r>
            <w:r w:rsidR="00F13EE7" w:rsidRPr="00AE11FF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e 1*500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к ИФА анализатору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201D969" w14:textId="7A7CB8C1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11FF">
              <w:rPr>
                <w:color w:val="000000"/>
                <w:sz w:val="18"/>
                <w:szCs w:val="18"/>
              </w:rPr>
              <w:t>құты</w:t>
            </w:r>
            <w:proofErr w:type="spellEnd"/>
            <w:proofErr w:type="gramEnd"/>
            <w:r w:rsidRPr="00AE11FF">
              <w:rPr>
                <w:color w:val="000000"/>
                <w:sz w:val="18"/>
                <w:szCs w:val="18"/>
              </w:rPr>
              <w:t>/флакон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FE72A1" w14:textId="1DC8CA9D" w:rsidR="008A7136" w:rsidRPr="00AE11FF" w:rsidRDefault="008A7136" w:rsidP="008A7136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B804A07" w14:textId="5752D52E" w:rsidR="008A7136" w:rsidRPr="00AE11FF" w:rsidRDefault="008A7136" w:rsidP="008A7136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20 900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3A4C994" w14:textId="601B06C1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F7E64CE" w14:textId="07DEF7A1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95B2522" w14:textId="0FCE82FB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18000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F2D9A51" w14:textId="00838019" w:rsidR="008A7136" w:rsidRPr="00AE11FF" w:rsidRDefault="008A7136" w:rsidP="008A71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F13EE7" w:rsidRPr="00AA6A3A" w14:paraId="7A2C672F" w14:textId="138612A2" w:rsidTr="00F13EE7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67A6A74E" w14:textId="31A8146F" w:rsidR="00F13EE7" w:rsidRPr="00AA6A3A" w:rsidRDefault="00F13EE7" w:rsidP="00F13EE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7F6D45F5" w14:textId="147F7ADA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 xml:space="preserve">Кассета: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HBsAg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гепатит В на 100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определний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  к ИФА анализатору 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Cobas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 xml:space="preserve"> e 411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E21B40E" w14:textId="313EB6F1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/</w:t>
            </w:r>
            <w:r w:rsidRPr="00AE11FF">
              <w:rPr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абор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0E052DDE" w14:textId="70FB10F3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7BD5AA3" w14:textId="1FC93774" w:rsidR="00F13EE7" w:rsidRPr="00AE11FF" w:rsidRDefault="00F13EE7" w:rsidP="00F13EE7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64B19E0" w14:textId="4FD5F94D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7B1FC5A" w14:textId="5EC9DDFB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480AD5A" w14:textId="0155D7C7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83000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9859869" w14:textId="5543AEDB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F13EE7" w:rsidRPr="00AA6A3A" w14:paraId="4266CDD3" w14:textId="3534B987" w:rsidTr="00F13EE7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74C765B8" w14:textId="1824A5B7" w:rsidR="00F13EE7" w:rsidRPr="00AA6A3A" w:rsidRDefault="00F13EE7" w:rsidP="00F13EE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20962840" w14:textId="7CF2F41C" w:rsidR="00F13EE7" w:rsidRPr="00AE11FF" w:rsidRDefault="00F13EE7" w:rsidP="00F13EE7">
            <w:pPr>
              <w:rPr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Кассета Anti-HCV Gen2 Small Elecsys,cobas e 100 tests на 100 определений  к ИФА анализатору Cobas e 411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B92E203" w14:textId="7DE5F4A1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11FF">
              <w:rPr>
                <w:color w:val="000000"/>
                <w:sz w:val="18"/>
                <w:szCs w:val="18"/>
              </w:rPr>
              <w:t>Жинақ</w:t>
            </w:r>
            <w:proofErr w:type="spellEnd"/>
            <w:r w:rsidRPr="00AE11FF">
              <w:rPr>
                <w:color w:val="000000"/>
                <w:sz w:val="18"/>
                <w:szCs w:val="18"/>
              </w:rPr>
              <w:t>/</w:t>
            </w:r>
            <w:r w:rsidRPr="00AE11FF">
              <w:rPr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AE11FF">
              <w:rPr>
                <w:color w:val="000000"/>
                <w:sz w:val="18"/>
                <w:szCs w:val="18"/>
              </w:rPr>
              <w:t>абор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0CF560DD" w14:textId="0380A90E" w:rsidR="00F13EE7" w:rsidRPr="00AE11FF" w:rsidRDefault="00F13EE7" w:rsidP="00F13EE7">
            <w:pPr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91B49C" w14:textId="05612CA5" w:rsidR="00F13EE7" w:rsidRPr="00AE11FF" w:rsidRDefault="00F13EE7" w:rsidP="00F13EE7">
            <w:pPr>
              <w:jc w:val="center"/>
              <w:rPr>
                <w:color w:val="000000"/>
                <w:sz w:val="18"/>
                <w:szCs w:val="18"/>
              </w:rPr>
            </w:pPr>
            <w:r w:rsidRPr="00AE11FF">
              <w:rPr>
                <w:color w:val="000000"/>
                <w:sz w:val="18"/>
                <w:szCs w:val="18"/>
              </w:rPr>
              <w:t>259 000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CCA9299" w14:textId="2097DEEE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A990BA4" w14:textId="7D500774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3FE9D11" w14:textId="023AF9C9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255000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2BE5186" w14:textId="2B8D4540" w:rsidR="00F13EE7" w:rsidRPr="00AE11FF" w:rsidRDefault="00F13EE7" w:rsidP="00F13EE7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E11FF">
              <w:rPr>
                <w:color w:val="000000"/>
                <w:sz w:val="18"/>
                <w:szCs w:val="18"/>
                <w:lang w:val="kk-KZ"/>
              </w:rPr>
              <w:t> </w:t>
            </w:r>
          </w:p>
        </w:tc>
      </w:tr>
    </w:tbl>
    <w:p w14:paraId="795FE22F" w14:textId="77777777" w:rsidR="00A217A2" w:rsidRPr="001F3DC2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712FC3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бағалауға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;</w:t>
            </w:r>
          </w:p>
          <w:p w14:paraId="743C2D3C" w14:textId="4786FE37" w:rsidR="004B265E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EFA">
              <w:rPr>
                <w:rFonts w:ascii="Times New Roman" w:hAnsi="Times New Roman" w:cs="Times New Roman"/>
              </w:rPr>
              <w:t>Баға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ұсыныстары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пакеті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жеткізушілердің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себебінен</w:t>
            </w:r>
            <w:proofErr w:type="spellEnd"/>
            <w:r w:rsidRPr="002B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FA">
              <w:rPr>
                <w:rFonts w:ascii="Times New Roman" w:hAnsi="Times New Roman" w:cs="Times New Roman"/>
              </w:rPr>
              <w:t>қабылданбады</w:t>
            </w:r>
            <w:proofErr w:type="spellEnd"/>
            <w:r w:rsidR="007F7D4A" w:rsidRPr="002B3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7F7D4A" w:rsidRPr="002B3EFA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="007F7D4A" w:rsidRPr="002B3EFA">
              <w:rPr>
                <w:rFonts w:ascii="Times New Roman" w:hAnsi="Times New Roman" w:cs="Times New Roman"/>
              </w:rPr>
              <w:t>;</w:t>
            </w:r>
          </w:p>
          <w:p w14:paraId="55DE0934" w14:textId="6E7630FA" w:rsidR="00040BF3" w:rsidRPr="009B0884" w:rsidRDefault="00040BF3" w:rsidP="00040BF3">
            <w:pPr>
              <w:jc w:val="both"/>
              <w:rPr>
                <w:sz w:val="22"/>
                <w:szCs w:val="22"/>
              </w:rPr>
            </w:pPr>
            <w:r w:rsidRPr="009B088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kk-KZ"/>
              </w:rPr>
              <w:t>5, 6, 7, 8, 9, 11, 13, 14, 15, 16, 17, 18, 19, 20, 21</w:t>
            </w:r>
            <w:r w:rsidRPr="009B0884">
              <w:rPr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sz w:val="20"/>
                <w:szCs w:val="20"/>
              </w:rPr>
              <w:t>лоттар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sz w:val="20"/>
                <w:szCs w:val="20"/>
              </w:rPr>
              <w:t>бойынша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sz w:val="20"/>
                <w:szCs w:val="20"/>
              </w:rPr>
              <w:t>қаражатты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sz w:val="20"/>
                <w:szCs w:val="20"/>
              </w:rPr>
              <w:t>үнемдеу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1 319 700</w:t>
            </w:r>
            <w:r w:rsidRPr="009B0884">
              <w:rPr>
                <w:sz w:val="20"/>
                <w:szCs w:val="20"/>
              </w:rPr>
              <w:t>,00 (</w:t>
            </w:r>
            <w:r>
              <w:rPr>
                <w:sz w:val="20"/>
                <w:szCs w:val="20"/>
                <w:lang w:val="kk-KZ"/>
              </w:rPr>
              <w:t>бір миллион үш жүз он тоғыз мың жеті жүз</w:t>
            </w:r>
            <w:r w:rsidRPr="009B0884">
              <w:rPr>
                <w:sz w:val="20"/>
                <w:szCs w:val="20"/>
              </w:rPr>
              <w:t xml:space="preserve">) </w:t>
            </w:r>
            <w:proofErr w:type="spellStart"/>
            <w:r w:rsidRPr="009B0884">
              <w:rPr>
                <w:sz w:val="20"/>
                <w:szCs w:val="20"/>
              </w:rPr>
              <w:t>теңгені</w:t>
            </w:r>
            <w:proofErr w:type="spellEnd"/>
            <w:r w:rsidRPr="009B0884">
              <w:rPr>
                <w:sz w:val="20"/>
                <w:szCs w:val="20"/>
              </w:rPr>
              <w:t xml:space="preserve"> </w:t>
            </w:r>
            <w:proofErr w:type="spellStart"/>
            <w:r w:rsidRPr="009B0884">
              <w:rPr>
                <w:sz w:val="20"/>
                <w:szCs w:val="20"/>
              </w:rPr>
              <w:t>құрайды</w:t>
            </w:r>
            <w:proofErr w:type="spellEnd"/>
            <w:r w:rsidRPr="009B0884">
              <w:rPr>
                <w:sz w:val="22"/>
                <w:szCs w:val="22"/>
              </w:rPr>
              <w:t>.</w:t>
            </w:r>
          </w:p>
          <w:p w14:paraId="0CDD57AC" w14:textId="33060875" w:rsidR="008F6671" w:rsidRPr="002B3EFA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2B3EFA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дәрігер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Дәріхана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>.</w:t>
            </w:r>
          </w:p>
          <w:p w14:paraId="49309BD5" w14:textId="77777777" w:rsidR="00C8743C" w:rsidRPr="002B3EFA" w:rsidRDefault="00C8743C" w:rsidP="00C8743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2B3EF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бастығы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Н.М.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Мукажанова</w:t>
            </w:r>
            <w:r w:rsidRPr="002B3EFA">
              <w:rPr>
                <w:rFonts w:cs="Times New Roman"/>
                <w:sz w:val="20"/>
                <w:szCs w:val="20"/>
              </w:rPr>
              <w:t>.</w:t>
            </w:r>
          </w:p>
          <w:p w14:paraId="4E0637A6" w14:textId="77777777" w:rsidR="00D72316" w:rsidRPr="002B3EFA" w:rsidRDefault="00D72316" w:rsidP="00D72316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  <w:lang w:val="kk-KZ"/>
              </w:rPr>
              <w:t>Мемлекеттік сатып алу бөлімінің менеджері К. Жаңабайқызы.</w:t>
            </w:r>
          </w:p>
          <w:p w14:paraId="15CBFF1A" w14:textId="77777777" w:rsidR="00D72316" w:rsidRPr="002B3EFA" w:rsidRDefault="00D72316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2AA93272" w14:textId="6D61A131" w:rsidR="000D34A7" w:rsidRPr="002B3EFA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       </w:t>
            </w:r>
            <w:r w:rsidR="008F6671" w:rsidRPr="002B3EFA">
              <w:rPr>
                <w:rFonts w:cs="Times New Roman"/>
                <w:sz w:val="20"/>
                <w:szCs w:val="20"/>
                <w:lang w:val="kk-KZ"/>
              </w:rPr>
              <w:t xml:space="preserve">Әлеуетті өнім берушілердің конверттерін ашу кезінде өкілдер қатысты: </w:t>
            </w:r>
            <w:r w:rsidR="000D34A7" w:rsidRPr="002B3EFA">
              <w:rPr>
                <w:rFonts w:cs="Times New Roman"/>
                <w:b/>
                <w:sz w:val="20"/>
                <w:szCs w:val="20"/>
                <w:lang w:val="kk-KZ"/>
              </w:rPr>
              <w:t>жоқ;</w:t>
            </w:r>
          </w:p>
          <w:p w14:paraId="584F138A" w14:textId="77777777" w:rsidR="00712FC3" w:rsidRPr="002B3EFA" w:rsidRDefault="00712FC3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5E405E30" w14:textId="43B15832" w:rsidR="00E42062" w:rsidRPr="002B3EFA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D34A7" w:rsidRPr="002B3EFA">
              <w:rPr>
                <w:rFonts w:cs="Times New Roman"/>
                <w:b/>
                <w:sz w:val="20"/>
                <w:szCs w:val="20"/>
                <w:lang w:val="kk-KZ"/>
              </w:rPr>
              <w:t>к</w:t>
            </w:r>
            <w:r w:rsidR="001432D2" w:rsidRPr="002B3EFA">
              <w:rPr>
                <w:rFonts w:cs="Times New Roman"/>
                <w:b/>
                <w:sz w:val="20"/>
                <w:szCs w:val="20"/>
                <w:lang w:val="kk-KZ"/>
              </w:rPr>
              <w:t>елесі лот</w:t>
            </w:r>
            <w:r w:rsidR="00C8743C" w:rsidRPr="002B3EFA">
              <w:rPr>
                <w:rFonts w:cs="Times New Roman"/>
                <w:b/>
                <w:sz w:val="20"/>
                <w:szCs w:val="20"/>
                <w:lang w:val="kk-KZ"/>
              </w:rPr>
              <w:t>ттар</w:t>
            </w:r>
            <w:r w:rsidR="001432D2"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бойынша Қағиданың 139-тармағына, 10-тарауына сәйкес:</w:t>
            </w:r>
          </w:p>
          <w:p w14:paraId="0889E756" w14:textId="523D0BE8" w:rsidR="00C51C0D" w:rsidRPr="00684EA5" w:rsidRDefault="00836F86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>№</w:t>
            </w:r>
            <w:r w:rsidR="001F3DC2" w:rsidRPr="002B3EFA">
              <w:rPr>
                <w:rFonts w:cs="Times New Roman"/>
                <w:b/>
                <w:sz w:val="20"/>
                <w:szCs w:val="20"/>
                <w:lang w:val="kk-KZ"/>
              </w:rPr>
              <w:t>1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 «</w:t>
            </w:r>
            <w:r w:rsidR="007C6D80">
              <w:rPr>
                <w:rFonts w:cs="Times New Roman"/>
                <w:sz w:val="20"/>
                <w:szCs w:val="20"/>
                <w:lang w:val="kk-KZ"/>
              </w:rPr>
              <w:t>АЧТВ</w:t>
            </w:r>
            <w:r w:rsidR="007C6D80" w:rsidRPr="007C6D80">
              <w:rPr>
                <w:rFonts w:cs="Times New Roman"/>
                <w:sz w:val="20"/>
                <w:szCs w:val="20"/>
                <w:lang w:val="kk-KZ"/>
              </w:rPr>
              <w:t xml:space="preserve"> анықтайтын Реагент ішкі жүйеде факторлардың </w:t>
            </w:r>
            <w:r w:rsidR="007C6D80" w:rsidRPr="00684EA5">
              <w:rPr>
                <w:rFonts w:cs="Times New Roman"/>
                <w:sz w:val="20"/>
                <w:szCs w:val="20"/>
                <w:lang w:val="kk-KZ"/>
              </w:rPr>
              <w:t>тапшылығын (VIII, IX, XI, XII) анықтауға арнал</w:t>
            </w:r>
            <w:bookmarkStart w:id="0" w:name="_GoBack"/>
            <w:bookmarkEnd w:id="0"/>
            <w:r w:rsidR="007C6D80" w:rsidRPr="00684EA5">
              <w:rPr>
                <w:rFonts w:cs="Times New Roman"/>
                <w:sz w:val="20"/>
                <w:szCs w:val="20"/>
                <w:lang w:val="kk-KZ"/>
              </w:rPr>
              <w:t>ған жоғары сезімтал реагент болып табылады. Sysmex Corporation аксессуарларымен бірге CS-2500 Автоматты қан ұю анализаторына арналған 10 x 2 ml 400 сынағы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="00C8743C" w:rsidRPr="00684EA5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1A8F5848" w14:textId="3CA3B76D" w:rsidR="00BB1903" w:rsidRPr="00684EA5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- жеңімпаз деп танылсын </w:t>
            </w:r>
            <w:r w:rsidR="001F3DC2" w:rsidRPr="00684EA5">
              <w:rPr>
                <w:rFonts w:cs="Times New Roman"/>
                <w:b/>
                <w:sz w:val="20"/>
                <w:szCs w:val="20"/>
                <w:lang w:val="kk-KZ"/>
              </w:rPr>
              <w:t>ЖШС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B6778B" w:rsidRPr="00684EA5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7C6D80" w:rsidRPr="00684EA5">
              <w:rPr>
                <w:rFonts w:cs="Times New Roman"/>
                <w:b/>
                <w:sz w:val="20"/>
                <w:szCs w:val="20"/>
                <w:lang w:val="kk-KZ"/>
              </w:rPr>
              <w:t>IVD Holding</w:t>
            </w:r>
            <w:r w:rsidR="00B6778B" w:rsidRPr="00684EA5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, мекен-жайы </w:t>
            </w:r>
            <w:r w:rsidR="007C6D80" w:rsidRPr="00684EA5">
              <w:rPr>
                <w:rFonts w:cs="Times New Roman"/>
                <w:sz w:val="20"/>
                <w:szCs w:val="20"/>
                <w:lang w:val="kk-KZ"/>
              </w:rPr>
              <w:t>Алматы қ, Жандосов көшесі 172 А</w:t>
            </w:r>
            <w:r w:rsidR="00D72316" w:rsidRP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және жеткізумен байланысты барлық 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lastRenderedPageBreak/>
              <w:t>шығыстарды ескере отырып</w:t>
            </w:r>
            <w:r w:rsidR="00903FB2" w:rsidRP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7C6D80" w:rsidRPr="00684EA5">
              <w:rPr>
                <w:rFonts w:cs="Times New Roman"/>
                <w:sz w:val="20"/>
                <w:szCs w:val="20"/>
                <w:lang w:val="kk-KZ"/>
              </w:rPr>
              <w:t>116 760</w:t>
            </w:r>
            <w:r w:rsidR="00C8743C" w:rsidRPr="00684EA5">
              <w:rPr>
                <w:rFonts w:cs="Times New Roman"/>
                <w:sz w:val="20"/>
                <w:szCs w:val="20"/>
                <w:lang w:val="kk-KZ"/>
              </w:rPr>
              <w:t>,00 (</w:t>
            </w:r>
            <w:r w:rsidR="007C6D80" w:rsidRPr="00684EA5">
              <w:rPr>
                <w:rFonts w:cs="Times New Roman"/>
                <w:sz w:val="20"/>
                <w:szCs w:val="20"/>
                <w:lang w:val="kk-KZ"/>
              </w:rPr>
              <w:t>жүз он алты мың жеті жүз алпыс</w:t>
            </w:r>
            <w:r w:rsidR="00B6778B" w:rsidRPr="00684EA5">
              <w:rPr>
                <w:rFonts w:cs="Times New Roman"/>
                <w:sz w:val="20"/>
                <w:szCs w:val="20"/>
                <w:lang w:val="kk-KZ"/>
              </w:rPr>
              <w:t>) теңге</w:t>
            </w:r>
            <w:r w:rsidR="001F3DC2" w:rsidRP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сомасына шарт жасалсын.</w:t>
            </w:r>
          </w:p>
          <w:p w14:paraId="69B163BD" w14:textId="7736DAD2" w:rsidR="007C6D80" w:rsidRPr="00684EA5" w:rsidRDefault="007C6D80" w:rsidP="007C6D80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84EA5">
              <w:rPr>
                <w:rFonts w:cs="Times New Roman"/>
                <w:b/>
                <w:sz w:val="20"/>
                <w:szCs w:val="20"/>
                <w:lang w:val="kk-KZ"/>
              </w:rPr>
              <w:t xml:space="preserve">№2 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684EA5" w:rsidRPr="00684EA5">
              <w:rPr>
                <w:color w:val="000000"/>
                <w:sz w:val="20"/>
                <w:szCs w:val="20"/>
                <w:lang w:val="kk-KZ"/>
              </w:rPr>
              <w:t xml:space="preserve">ABL800 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>Flex қан газының анализаторына арналған жуу ерітіндісі, құты (600 мл)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7F499D79" w14:textId="6A2C5778" w:rsidR="007C6D80" w:rsidRPr="002B3EFA" w:rsidRDefault="007C6D80" w:rsidP="007C6D80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- жеңімпаз деп танылсын </w:t>
            </w:r>
            <w:r w:rsidRPr="00684EA5">
              <w:rPr>
                <w:rFonts w:cs="Times New Roman"/>
                <w:b/>
                <w:sz w:val="20"/>
                <w:szCs w:val="20"/>
                <w:lang w:val="kk-KZ"/>
              </w:rPr>
              <w:t>ЖШС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84EA5">
              <w:rPr>
                <w:rFonts w:cs="Times New Roman"/>
                <w:b/>
                <w:sz w:val="20"/>
                <w:szCs w:val="20"/>
                <w:lang w:val="kk-KZ"/>
              </w:rPr>
              <w:t xml:space="preserve">«Дельрус Казахстан» 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мекен-жайы Астана қ, Богенбай батыр даңғылы 3/3 және жеткізумен байланысты барлық шығыстарды ескере отырып 1 954 100,00 (бір миллион тоғыз жүз елу төрт мың бір жүз) теңге сомасына шарт жасалсын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32C674CA" w14:textId="712FC29C" w:rsidR="007C6D80" w:rsidRDefault="00684EA5" w:rsidP="007C6D80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>№3</w:t>
            </w:r>
            <w:r w:rsidR="007C6D80"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C6D80" w:rsidRPr="002B3EFA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Цитомегаловирус Cmv IgG Цитомегаловирус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қа қарсы антиденелер Architect I 1000 иммуно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-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химиялық анализаторы үшін 100 анықтамаға</w:t>
            </w:r>
            <w:r w:rsidR="007C6D80" w:rsidRPr="002B3EFA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3A5CB64F" w14:textId="5157BD31" w:rsidR="00684EA5" w:rsidRPr="00684EA5" w:rsidRDefault="00684EA5" w:rsidP="00684EA5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84EA5">
              <w:rPr>
                <w:rFonts w:cs="Times New Roman"/>
                <w:b/>
                <w:sz w:val="20"/>
                <w:szCs w:val="20"/>
                <w:lang w:val="kk-KZ"/>
              </w:rPr>
              <w:t>№4</w:t>
            </w: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«Architect I 1000 иммунохимиялық анализаторына арналған 100 анықтамалық такролимус реагенті».</w:t>
            </w:r>
          </w:p>
          <w:p w14:paraId="00A67223" w14:textId="1FA93DCB" w:rsidR="00684EA5" w:rsidRPr="002B3EFA" w:rsidRDefault="007C6D80" w:rsidP="00706627">
            <w:pPr>
              <w:spacing w:line="216" w:lineRule="auto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- жеңімпаз деп танылсын </w:t>
            </w: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>ЖШС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13EE7">
              <w:rPr>
                <w:rFonts w:cs="Times New Roman"/>
                <w:b/>
                <w:sz w:val="20"/>
                <w:szCs w:val="20"/>
                <w:lang w:val="kk-KZ"/>
              </w:rPr>
              <w:t>«</w:t>
            </w:r>
            <w:r w:rsidR="00684EA5" w:rsidRPr="00F13EE7">
              <w:rPr>
                <w:rFonts w:cs="Times New Roman"/>
                <w:b/>
                <w:sz w:val="20"/>
                <w:szCs w:val="20"/>
                <w:lang w:val="kk-KZ"/>
              </w:rPr>
              <w:t>Нур Торе</w:t>
            </w:r>
            <w:r w:rsidRPr="00F13EE7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  <w:r w:rsidR="00684EA5">
              <w:rPr>
                <w:rFonts w:cs="Times New Roman"/>
                <w:sz w:val="20"/>
                <w:szCs w:val="20"/>
                <w:lang w:val="kk-KZ"/>
              </w:rPr>
              <w:t xml:space="preserve"> мекен-жайы 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>Алматы қ., Қабанбай батыр көшесі 238</w:t>
            </w:r>
            <w:r w:rsid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 xml:space="preserve">және жеткізумен байланысты барлық шығыстарды ескере отырып </w:t>
            </w:r>
            <w:r w:rsidR="00D65C02">
              <w:rPr>
                <w:rFonts w:cs="Times New Roman"/>
                <w:sz w:val="20"/>
                <w:szCs w:val="20"/>
                <w:lang w:val="kk-KZ"/>
              </w:rPr>
              <w:t>1 863 511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 xml:space="preserve">,00 (бір миллион </w:t>
            </w:r>
            <w:r w:rsidR="00D65C02">
              <w:rPr>
                <w:rFonts w:cs="Times New Roman"/>
                <w:sz w:val="20"/>
                <w:szCs w:val="20"/>
                <w:lang w:val="kk-KZ"/>
              </w:rPr>
              <w:t>сегіз жүз алпыс үш мың бес жүз он бір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>) теңге сомасына шарт жасалсын</w:t>
            </w:r>
            <w:r w:rsidR="00684EA5" w:rsidRPr="002B3EFA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0D8C4945" w14:textId="1F1F6BC4" w:rsidR="00706627" w:rsidRPr="00706627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№5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«6000 Кассета (Cobas C501 биохимиялық модулі) C-300 сынақтан тұратын CRP LX реактивті ақуызы (300 анықтамаға)».</w:t>
            </w:r>
          </w:p>
          <w:p w14:paraId="59E38DE4" w14:textId="24968396" w:rsidR="00706627" w:rsidRPr="00706627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№6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«6000 кассета (Cobas C501 биохимиялық модулі) Amyl 2 Альфа - амилаза 300 сынаққа, (300 анықтамаға)».</w:t>
            </w:r>
          </w:p>
          <w:p w14:paraId="09C75C04" w14:textId="67488FEA" w:rsidR="00706627" w:rsidRPr="00706627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№7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«6000 кассета (Cobas C501 биохимиялық модулі) Билирубин 250 сынаққа арналған жалпы арнайы BELTS, (250 анықтамаға)».</w:t>
            </w:r>
          </w:p>
          <w:p w14:paraId="4021C66B" w14:textId="165E67A0" w:rsidR="00706627" w:rsidRPr="00706627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№8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«6000 кассета (Cobas C501 биохимиялық модулі) Билирубин тікелей BIL 350 сынаққа, (350 анықтамаға)».</w:t>
            </w:r>
          </w:p>
          <w:p w14:paraId="6AC5BCDA" w14:textId="58973743" w:rsidR="00706627" w:rsidRPr="00706627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№9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«6000 Кассета (Cobas C501 биохимиялық модулі): 800 тестке арналған глюкоза GLUCL, (800 анықтамаға)».</w:t>
            </w:r>
          </w:p>
          <w:p w14:paraId="3EEAEA10" w14:textId="77F824CF" w:rsidR="00706627" w:rsidRPr="00706627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№10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6000 Кассета (Cobas C501 биохимиялық модулі): 700 сынаққа арналған Креатинин CREAT, (700 анықтамаға)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55222CD2" w14:textId="39C36F84" w:rsidR="00706627" w:rsidRPr="00706627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№11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6000 Кассета (Cobas C501 биохимиялық модулі): UREAL Мочевина 500 сынаққа, (500 анықтамаға)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1B1E594C" w14:textId="755F97DD" w:rsidR="00706627" w:rsidRPr="00706627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№12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6000 Кассета (Cobas C501 биохимиялық модулі): 250 сынаққа арналған TRIGL триглицеридтері, (250 анықтамаға)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76546663" w14:textId="755F3B2E" w:rsidR="00706627" w:rsidRPr="00706627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№13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Cobas 6000 Автоматты модульдік анализаторына арналған бөтелкедегі 2x1,8 L acid wash solution жуғыш зат ерітіндісін жуу (Cobas C 501 биохимиялық модулі)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1EE8E37F" w14:textId="279F1EE0" w:rsidR="00706627" w:rsidRPr="00706627" w:rsidRDefault="00706627" w:rsidP="00D65C02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№14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Кассета: Troponin t жоғары сезімтал STAT 100 troponin t HS STAT сынақтарына,100 tests, Cobas e 411 ИФА анализаторына 100 анықтамаға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676C389B" w14:textId="1D53CD8F" w:rsidR="00706627" w:rsidRPr="00706627" w:rsidRDefault="00706627" w:rsidP="00D65C02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№15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Elecsys кассетасы: 100 AIP Gen сынағы үшін Альфа ФетоПротеин, 1,1 Small,100 tests, Cobas e 411 ИФА анализаторына 100 анықтамаға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3DC4785D" w14:textId="1FF3E3ED" w:rsidR="00706627" w:rsidRPr="00706627" w:rsidRDefault="00706627" w:rsidP="00D65C02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№16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Elecsys кассетасы: Cobas e 411 ИФА анализаторына 100 тестке Анти-тиреопироксидаза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354A4A66" w14:textId="44B36B31" w:rsidR="00706627" w:rsidRPr="00706627" w:rsidRDefault="00706627" w:rsidP="00D65C02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№17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Шығын материалдары Cleancell тазартқыш ерітіндісі 6*380 мл к ИФА Cobas e 411 анализаторына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7E14F0E2" w14:textId="347CAAD7" w:rsidR="00706627" w:rsidRPr="00706627" w:rsidRDefault="00706627" w:rsidP="00D65C02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№18</w:t>
            </w:r>
            <w:r w:rsidR="00D65C02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Шығын материалдары Procell буферлік ерітіндісі 6*380 мл к ИФА Cobas e 411 анализаторына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046A1966" w14:textId="2C9D22B4" w:rsidR="00706627" w:rsidRPr="00706627" w:rsidRDefault="00706627" w:rsidP="00D65C02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lastRenderedPageBreak/>
              <w:t>№19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Шығын материалдары жуу ерітіндісі 1*500 мл Sys Wash Elecsys,cobas e 1*500 ml к ИФА анализатор Cobas e411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755D04F1" w14:textId="095BFF9D" w:rsidR="00706627" w:rsidRPr="00706627" w:rsidRDefault="00706627" w:rsidP="00D65C02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№20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Кассета: HBsAg Cobas e411 анализаторына 100 анықтамаға В гепатиті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0C9375CF" w14:textId="6A687EAA" w:rsidR="00706627" w:rsidRPr="00706627" w:rsidRDefault="00706627" w:rsidP="00D65C02">
            <w:pPr>
              <w:spacing w:line="192" w:lineRule="auto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№21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>Anti-HCV Gen2 Small Elecsys кассетасы, Cobas e 100 E411 ИФА анализаторына 100 анықтамаға арналған тесттер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».</w:t>
            </w:r>
          </w:p>
          <w:p w14:paraId="7FB9F0EE" w14:textId="084B4BFD" w:rsidR="00706627" w:rsidRPr="002B3EFA" w:rsidRDefault="00706627" w:rsidP="00706627">
            <w:pPr>
              <w:spacing w:line="216" w:lineRule="auto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- жеңімпаз деп танылсын </w:t>
            </w: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>ЖШС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65C02">
              <w:rPr>
                <w:rFonts w:cs="Times New Roman"/>
                <w:b/>
                <w:sz w:val="20"/>
                <w:szCs w:val="20"/>
                <w:lang w:val="kk-KZ"/>
              </w:rPr>
              <w:t>«</w:t>
            </w:r>
            <w:r w:rsidR="00D65C02" w:rsidRPr="00D65C02">
              <w:rPr>
                <w:rFonts w:cs="Times New Roman"/>
                <w:b/>
                <w:sz w:val="20"/>
                <w:szCs w:val="20"/>
                <w:lang w:val="kk-KZ"/>
              </w:rPr>
              <w:t>ТЦ Мастер</w:t>
            </w:r>
            <w:r w:rsidRPr="00D65C02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мекен-жайы </w:t>
            </w:r>
            <w:r w:rsidR="00D65C02" w:rsidRPr="00D65C02">
              <w:rPr>
                <w:rFonts w:cs="Times New Roman"/>
                <w:sz w:val="20"/>
                <w:szCs w:val="20"/>
                <w:lang w:val="kk-KZ"/>
              </w:rPr>
              <w:t xml:space="preserve">Алматы қ, Алмас ш/а, 16 үй </w:t>
            </w:r>
            <w:r w:rsidRPr="00D65C02">
              <w:rPr>
                <w:rFonts w:cs="Times New Roman"/>
                <w:sz w:val="20"/>
                <w:szCs w:val="20"/>
                <w:lang w:val="kk-KZ"/>
              </w:rPr>
              <w:t>және жеткізумен байланысты барлық шығ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ыстарды ескере отырып </w:t>
            </w:r>
            <w:r w:rsidR="00D65C02">
              <w:rPr>
                <w:rFonts w:cs="Times New Roman"/>
                <w:sz w:val="20"/>
                <w:szCs w:val="20"/>
                <w:lang w:val="kk-KZ"/>
              </w:rPr>
              <w:t>4 116 800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,00 (</w:t>
            </w:r>
            <w:r w:rsidR="00D65C02">
              <w:rPr>
                <w:rFonts w:cs="Times New Roman"/>
                <w:sz w:val="20"/>
                <w:szCs w:val="20"/>
                <w:lang w:val="kk-KZ"/>
              </w:rPr>
              <w:t>төрт миллион бір жүз он алты мың сегіз жүз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) теңге сомасына шарт жасалсын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203D29BB" w14:textId="49B0046C" w:rsidR="007C6D80" w:rsidRPr="00684EA5" w:rsidRDefault="007C6D80" w:rsidP="007C6D80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B3EFA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2B3EFA">
              <w:rPr>
                <w:rFonts w:cs="Times New Roman"/>
                <w:sz w:val="20"/>
                <w:szCs w:val="20"/>
              </w:rPr>
              <w:t>;</w:t>
            </w:r>
          </w:p>
          <w:p w14:paraId="5FFBA3AB" w14:textId="35FCCA30" w:rsidR="0021343F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2B3EFA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7F7D4A" w:rsidRPr="002B3EFA">
              <w:rPr>
                <w:rFonts w:cs="Times New Roman"/>
                <w:sz w:val="20"/>
                <w:szCs w:val="20"/>
              </w:rPr>
              <w:t>;</w:t>
            </w:r>
          </w:p>
          <w:p w14:paraId="24C7FF5C" w14:textId="39BC44D8" w:rsidR="00040BF3" w:rsidRPr="009B0884" w:rsidRDefault="00040BF3" w:rsidP="00040BF3">
            <w:pPr>
              <w:jc w:val="both"/>
              <w:rPr>
                <w:rFonts w:eastAsia="Times New Roman"/>
                <w:kern w:val="0"/>
                <w:sz w:val="20"/>
                <w:szCs w:val="20"/>
                <w:lang w:bidi="ar-SA"/>
              </w:rPr>
            </w:pPr>
            <w:r w:rsidRPr="009B0884">
              <w:rPr>
                <w:sz w:val="20"/>
                <w:szCs w:val="20"/>
              </w:rPr>
              <w:t>Экономия средств по лотам №</w:t>
            </w:r>
            <w:r>
              <w:rPr>
                <w:sz w:val="20"/>
                <w:szCs w:val="20"/>
                <w:lang w:val="kk-KZ"/>
              </w:rPr>
              <w:t>5, 6, 7, 8, 9, 11, 13, 14, 15, 16, 17, 18, 19, 20, 21</w:t>
            </w:r>
            <w:r w:rsidRPr="009B0884">
              <w:rPr>
                <w:sz w:val="20"/>
                <w:szCs w:val="20"/>
              </w:rPr>
              <w:t xml:space="preserve"> составляет </w:t>
            </w:r>
            <w:r>
              <w:rPr>
                <w:sz w:val="20"/>
                <w:szCs w:val="20"/>
                <w:lang w:val="kk-KZ"/>
              </w:rPr>
              <w:t>1 319 700</w:t>
            </w:r>
            <w:r w:rsidRPr="009B0884">
              <w:rPr>
                <w:sz w:val="20"/>
                <w:szCs w:val="20"/>
              </w:rPr>
              <w:t>,00 (</w:t>
            </w:r>
            <w:r w:rsidRPr="00040BF3">
              <w:rPr>
                <w:sz w:val="20"/>
                <w:szCs w:val="20"/>
              </w:rPr>
              <w:t>один миллион триста девятнадцать тысяч семьсот</w:t>
            </w:r>
            <w:r w:rsidRPr="009B0884">
              <w:rPr>
                <w:sz w:val="20"/>
                <w:szCs w:val="20"/>
              </w:rPr>
              <w:t>) тенге.</w:t>
            </w:r>
          </w:p>
          <w:p w14:paraId="261E3BCC" w14:textId="77777777" w:rsidR="00034CAA" w:rsidRPr="002B3EFA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77B85838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2B3EFA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2B3EFA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2B3EFA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3FBB6334" w14:textId="77777777" w:rsidR="00C8743C" w:rsidRPr="002B3EFA" w:rsidRDefault="00C8743C" w:rsidP="00C8743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  <w:lang w:val="kk-KZ"/>
              </w:rPr>
              <w:t>Начальник</w:t>
            </w:r>
            <w:r w:rsidRPr="002B3EFA">
              <w:rPr>
                <w:rFonts w:cs="Times New Roman"/>
                <w:sz w:val="20"/>
                <w:szCs w:val="20"/>
              </w:rPr>
              <w:t xml:space="preserve"> отдела государственных закупок </w:t>
            </w:r>
            <w:r w:rsidRPr="002B3EFA">
              <w:rPr>
                <w:rFonts w:cs="Times New Roman"/>
                <w:sz w:val="20"/>
                <w:szCs w:val="20"/>
                <w:lang w:val="kk-KZ"/>
              </w:rPr>
              <w:t>Мукажанова Н.М.</w:t>
            </w:r>
          </w:p>
          <w:p w14:paraId="32DCE2A8" w14:textId="77777777" w:rsidR="00D72316" w:rsidRPr="002B3EFA" w:rsidRDefault="00D72316" w:rsidP="00D72316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2B3EFA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2B3EFA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2B3EF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2B3EFA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4C5A6A6B" w:rsidR="00F441C3" w:rsidRPr="00684EA5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B3EFA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2B3EFA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2B3EFA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2B3EFA">
              <w:rPr>
                <w:rFonts w:cs="Times New Roman"/>
                <w:b/>
                <w:sz w:val="20"/>
                <w:szCs w:val="20"/>
              </w:rPr>
              <w:t xml:space="preserve">139, главы 10 Правил </w:t>
            </w:r>
            <w:r w:rsidR="00D9039E" w:rsidRPr="00684EA5">
              <w:rPr>
                <w:rFonts w:cs="Times New Roman"/>
                <w:b/>
                <w:sz w:val="20"/>
                <w:szCs w:val="20"/>
              </w:rPr>
              <w:t>п</w:t>
            </w:r>
            <w:r w:rsidRPr="00684EA5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684EA5">
              <w:rPr>
                <w:rFonts w:cs="Times New Roman"/>
                <w:b/>
                <w:sz w:val="20"/>
                <w:szCs w:val="20"/>
              </w:rPr>
              <w:t>лот</w:t>
            </w:r>
            <w:r w:rsidR="00C8743C" w:rsidRPr="00684EA5">
              <w:rPr>
                <w:rFonts w:cs="Times New Roman"/>
                <w:b/>
                <w:sz w:val="20"/>
                <w:szCs w:val="20"/>
                <w:lang w:val="kk-KZ"/>
              </w:rPr>
              <w:t>ам</w:t>
            </w:r>
            <w:r w:rsidR="00F441C3" w:rsidRPr="00684EA5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D266090" w14:textId="5874AF59" w:rsidR="00C51C0D" w:rsidRPr="00684EA5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684EA5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684EA5">
              <w:rPr>
                <w:rFonts w:cs="Times New Roman"/>
                <w:b/>
                <w:sz w:val="20"/>
                <w:szCs w:val="20"/>
              </w:rPr>
              <w:t>1</w:t>
            </w:r>
            <w:r w:rsidRPr="00684EA5">
              <w:rPr>
                <w:rFonts w:cs="Times New Roman"/>
                <w:sz w:val="20"/>
                <w:szCs w:val="20"/>
              </w:rPr>
              <w:t xml:space="preserve"> «</w:t>
            </w:r>
            <w:r w:rsidR="007C6D80" w:rsidRPr="00684EA5">
              <w:rPr>
                <w:rFonts w:cs="Times New Roman"/>
                <w:sz w:val="20"/>
                <w:szCs w:val="20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="007C6D80" w:rsidRPr="00684EA5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="007C6D80" w:rsidRPr="00684EA5">
              <w:rPr>
                <w:rFonts w:cs="Times New Roman"/>
                <w:sz w:val="20"/>
                <w:szCs w:val="20"/>
              </w:rPr>
              <w:t xml:space="preserve"> 400 тестов для автоматического анализатора свертываемости крови CS-2500 в комплекте с принадлежностями к </w:t>
            </w:r>
            <w:proofErr w:type="spellStart"/>
            <w:r w:rsidR="007C6D80" w:rsidRPr="00684EA5">
              <w:rPr>
                <w:rFonts w:cs="Times New Roman"/>
                <w:sz w:val="20"/>
                <w:szCs w:val="20"/>
              </w:rPr>
              <w:t>Sysmеx</w:t>
            </w:r>
            <w:proofErr w:type="spellEnd"/>
            <w:r w:rsidR="007C6D80" w:rsidRPr="00684E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C6D80" w:rsidRPr="00684EA5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684EA5">
              <w:rPr>
                <w:rFonts w:cs="Times New Roman"/>
                <w:sz w:val="20"/>
                <w:szCs w:val="20"/>
              </w:rPr>
              <w:t>»</w:t>
            </w:r>
            <w:r w:rsidR="00C8743C" w:rsidRPr="00684EA5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45246082" w14:textId="5636FB38" w:rsidR="00BB1903" w:rsidRPr="00684EA5" w:rsidRDefault="00BB1903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684EA5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B6778B" w:rsidRPr="00684EA5">
              <w:rPr>
                <w:rFonts w:cs="Times New Roman"/>
                <w:b/>
                <w:sz w:val="20"/>
                <w:szCs w:val="20"/>
              </w:rPr>
              <w:t>ТОО</w:t>
            </w:r>
            <w:r w:rsidR="00B6778B" w:rsidRPr="00684EA5">
              <w:rPr>
                <w:rFonts w:cs="Times New Roman"/>
                <w:sz w:val="20"/>
                <w:szCs w:val="20"/>
              </w:rPr>
              <w:t xml:space="preserve"> «</w:t>
            </w:r>
            <w:r w:rsidR="007C6D80" w:rsidRPr="00684EA5">
              <w:rPr>
                <w:rFonts w:cs="Times New Roman"/>
                <w:b/>
                <w:sz w:val="20"/>
                <w:szCs w:val="20"/>
                <w:lang w:val="en-US"/>
              </w:rPr>
              <w:t>IVD</w:t>
            </w:r>
            <w:r w:rsidR="007C6D80" w:rsidRPr="00684EA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C6D80" w:rsidRPr="00684EA5">
              <w:rPr>
                <w:rFonts w:cs="Times New Roman"/>
                <w:b/>
                <w:sz w:val="20"/>
                <w:szCs w:val="20"/>
                <w:lang w:val="en-US"/>
              </w:rPr>
              <w:t>Holding</w:t>
            </w:r>
            <w:r w:rsidR="00B6778B" w:rsidRPr="00684EA5">
              <w:rPr>
                <w:rFonts w:cs="Times New Roman"/>
                <w:sz w:val="20"/>
                <w:szCs w:val="20"/>
              </w:rPr>
              <w:t>»</w:t>
            </w:r>
            <w:r w:rsidRPr="00684EA5">
              <w:rPr>
                <w:rFonts w:cs="Times New Roman"/>
                <w:sz w:val="20"/>
                <w:szCs w:val="20"/>
              </w:rPr>
              <w:t xml:space="preserve">, местонахождение </w:t>
            </w:r>
            <w:r w:rsidR="007C6D80" w:rsidRPr="00684EA5">
              <w:rPr>
                <w:rFonts w:cs="Times New Roman"/>
                <w:sz w:val="20"/>
                <w:szCs w:val="20"/>
                <w:lang w:val="kk-KZ"/>
              </w:rPr>
              <w:t>г. Алматы, ул.Жандосова 172 А</w:t>
            </w:r>
            <w:r w:rsidR="007C6D80" w:rsidRPr="00684EA5">
              <w:rPr>
                <w:rFonts w:cs="Times New Roman"/>
                <w:sz w:val="20"/>
                <w:szCs w:val="20"/>
              </w:rPr>
              <w:t xml:space="preserve"> </w:t>
            </w:r>
            <w:r w:rsidRPr="00684EA5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7C6D80" w:rsidRPr="00684EA5">
              <w:rPr>
                <w:rFonts w:cs="Times New Roman"/>
                <w:sz w:val="20"/>
                <w:szCs w:val="20"/>
                <w:lang w:val="kk-KZ"/>
              </w:rPr>
              <w:t>116 760</w:t>
            </w:r>
            <w:r w:rsidR="00C8743C" w:rsidRPr="00684EA5">
              <w:rPr>
                <w:rFonts w:cs="Times New Roman"/>
                <w:sz w:val="20"/>
                <w:szCs w:val="20"/>
              </w:rPr>
              <w:t>,00 (</w:t>
            </w:r>
            <w:r w:rsidR="007C6D80" w:rsidRPr="00684EA5">
              <w:rPr>
                <w:rFonts w:cs="Times New Roman"/>
                <w:sz w:val="20"/>
                <w:szCs w:val="20"/>
              </w:rPr>
              <w:t>сто шестнадцать тысяч семьсот шестьдесят</w:t>
            </w:r>
            <w:r w:rsidR="00B6778B" w:rsidRPr="00684EA5">
              <w:rPr>
                <w:rFonts w:cs="Times New Roman"/>
                <w:sz w:val="20"/>
                <w:szCs w:val="20"/>
              </w:rPr>
              <w:t xml:space="preserve">) тенге </w:t>
            </w:r>
            <w:r w:rsidRPr="00684EA5">
              <w:rPr>
                <w:rFonts w:cs="Times New Roman"/>
                <w:sz w:val="20"/>
                <w:szCs w:val="20"/>
              </w:rPr>
              <w:t xml:space="preserve">с </w:t>
            </w:r>
            <w:r w:rsidRPr="00684EA5">
              <w:rPr>
                <w:rFonts w:cs="Times New Roman"/>
                <w:sz w:val="20"/>
                <w:szCs w:val="20"/>
              </w:rPr>
              <w:lastRenderedPageBreak/>
              <w:t>учетом всех расходов связанных с поставкой.</w:t>
            </w:r>
          </w:p>
          <w:p w14:paraId="0C756676" w14:textId="77777777" w:rsidR="00684EA5" w:rsidRDefault="00684EA5" w:rsidP="007C6D8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6FDA734B" w14:textId="31955BCE" w:rsidR="007C6D80" w:rsidRPr="00684EA5" w:rsidRDefault="007C6D80" w:rsidP="007C6D80">
            <w:pPr>
              <w:jc w:val="both"/>
              <w:rPr>
                <w:rFonts w:cs="Times New Roman"/>
                <w:sz w:val="20"/>
                <w:szCs w:val="20"/>
              </w:rPr>
            </w:pPr>
            <w:r w:rsidRPr="00684EA5">
              <w:rPr>
                <w:rFonts w:cs="Times New Roman"/>
                <w:b/>
                <w:sz w:val="20"/>
                <w:szCs w:val="20"/>
              </w:rPr>
              <w:t>№2</w:t>
            </w:r>
            <w:r w:rsidRPr="00684EA5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84EA5">
              <w:rPr>
                <w:rFonts w:cs="Times New Roman"/>
                <w:sz w:val="20"/>
                <w:szCs w:val="20"/>
              </w:rPr>
              <w:t>«</w:t>
            </w:r>
            <w:r w:rsidR="00684EA5" w:rsidRPr="00684EA5">
              <w:rPr>
                <w:color w:val="000000"/>
                <w:sz w:val="20"/>
                <w:szCs w:val="20"/>
              </w:rPr>
              <w:t>Промывочный раствор, флакон (600 мл) для анализатора газов крови ABL800 FLEX</w:t>
            </w:r>
            <w:r w:rsidRPr="00684EA5">
              <w:rPr>
                <w:rFonts w:cs="Times New Roman"/>
                <w:sz w:val="20"/>
                <w:szCs w:val="20"/>
              </w:rPr>
              <w:t>».</w:t>
            </w:r>
          </w:p>
          <w:p w14:paraId="066B748E" w14:textId="7D04C34D" w:rsidR="007C6D80" w:rsidRPr="00684EA5" w:rsidRDefault="007C6D80" w:rsidP="007C6D80">
            <w:pPr>
              <w:jc w:val="both"/>
              <w:rPr>
                <w:rFonts w:cs="Times New Roman"/>
                <w:sz w:val="20"/>
                <w:szCs w:val="20"/>
              </w:rPr>
            </w:pPr>
            <w:r w:rsidRPr="00684EA5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Pr="00684EA5">
              <w:rPr>
                <w:rFonts w:cs="Times New Roman"/>
                <w:b/>
                <w:sz w:val="20"/>
                <w:szCs w:val="20"/>
              </w:rPr>
              <w:t>ТОО</w:t>
            </w:r>
            <w:r w:rsidRPr="00684EA5">
              <w:rPr>
                <w:rFonts w:cs="Times New Roman"/>
                <w:sz w:val="20"/>
                <w:szCs w:val="20"/>
              </w:rPr>
              <w:t xml:space="preserve"> </w:t>
            </w:r>
            <w:r w:rsidRPr="00684EA5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684EA5">
              <w:rPr>
                <w:rFonts w:cs="Times New Roman"/>
                <w:b/>
                <w:sz w:val="20"/>
                <w:szCs w:val="20"/>
              </w:rPr>
              <w:t>Дельрус</w:t>
            </w:r>
            <w:proofErr w:type="spellEnd"/>
            <w:r w:rsidRPr="00684EA5">
              <w:rPr>
                <w:rFonts w:cs="Times New Roman"/>
                <w:b/>
                <w:sz w:val="20"/>
                <w:szCs w:val="20"/>
              </w:rPr>
              <w:t xml:space="preserve"> Казахстан»</w:t>
            </w:r>
            <w:r w:rsidRPr="00684EA5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84EA5">
              <w:rPr>
                <w:rFonts w:cs="Times New Roman"/>
                <w:sz w:val="20"/>
                <w:szCs w:val="20"/>
              </w:rPr>
              <w:t>местонахождение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 г. Астана қ, пр. Богенбай батыр 3/3 1 954 100</w:t>
            </w:r>
            <w:r w:rsidRPr="00684EA5">
              <w:rPr>
                <w:rFonts w:cs="Times New Roman"/>
                <w:sz w:val="20"/>
                <w:szCs w:val="20"/>
              </w:rPr>
              <w:t>,00 (один миллион девятьсот пятьдесят четыре тысячи сто) тенге с учетом всех расходов связанных с поставкой.</w:t>
            </w:r>
          </w:p>
          <w:p w14:paraId="6B889775" w14:textId="3A5267F8" w:rsidR="00C51C0D" w:rsidRPr="00684EA5" w:rsidRDefault="00C51C0D" w:rsidP="00BD352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5B6270" w14:textId="77E4CF62" w:rsidR="007C6D80" w:rsidRDefault="00684EA5" w:rsidP="007C6D8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№3</w:t>
            </w:r>
            <w:r w:rsidR="007C6D80"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C6D80" w:rsidRPr="002B3EFA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684EA5">
              <w:rPr>
                <w:rFonts w:cs="Times New Roman"/>
                <w:sz w:val="20"/>
                <w:szCs w:val="20"/>
              </w:rPr>
              <w:t>Цитомегаловирус</w:t>
            </w:r>
            <w:proofErr w:type="spellEnd"/>
            <w:r w:rsidRPr="00684EA5">
              <w:rPr>
                <w:rFonts w:cs="Times New Roman"/>
                <w:sz w:val="20"/>
                <w:szCs w:val="20"/>
              </w:rPr>
              <w:t xml:space="preserve"> ЦМВ </w:t>
            </w:r>
            <w:proofErr w:type="spellStart"/>
            <w:r w:rsidRPr="00684EA5">
              <w:rPr>
                <w:rFonts w:cs="Times New Roman"/>
                <w:sz w:val="20"/>
                <w:szCs w:val="20"/>
              </w:rPr>
              <w:t>IgG</w:t>
            </w:r>
            <w:proofErr w:type="spellEnd"/>
            <w:r w:rsidRPr="00684EA5">
              <w:rPr>
                <w:rFonts w:cs="Times New Roman"/>
                <w:sz w:val="20"/>
                <w:szCs w:val="20"/>
              </w:rPr>
              <w:t xml:space="preserve"> антител к </w:t>
            </w:r>
            <w:proofErr w:type="spellStart"/>
            <w:r w:rsidRPr="00684EA5">
              <w:rPr>
                <w:rFonts w:cs="Times New Roman"/>
                <w:sz w:val="20"/>
                <w:szCs w:val="20"/>
              </w:rPr>
              <w:t>цитомегаловирусу</w:t>
            </w:r>
            <w:proofErr w:type="spellEnd"/>
            <w:r w:rsidRPr="00684EA5">
              <w:rPr>
                <w:rFonts w:cs="Times New Roman"/>
                <w:sz w:val="20"/>
                <w:szCs w:val="20"/>
              </w:rPr>
              <w:t xml:space="preserve"> на 100 определений для иммунохимического анализатора </w:t>
            </w:r>
            <w:proofErr w:type="spellStart"/>
            <w:r w:rsidRPr="00684EA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684EA5">
              <w:rPr>
                <w:rFonts w:cs="Times New Roman"/>
                <w:sz w:val="20"/>
                <w:szCs w:val="20"/>
              </w:rPr>
              <w:t xml:space="preserve"> I 1000</w:t>
            </w:r>
            <w:r w:rsidR="007C6D80" w:rsidRPr="002B3EFA">
              <w:rPr>
                <w:rFonts w:cs="Times New Roman"/>
                <w:sz w:val="20"/>
                <w:szCs w:val="20"/>
              </w:rPr>
              <w:t>».</w:t>
            </w:r>
          </w:p>
          <w:p w14:paraId="7DE2EB4A" w14:textId="446B658A" w:rsidR="00684EA5" w:rsidRPr="002B3EFA" w:rsidRDefault="00684EA5" w:rsidP="00684EA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№4</w:t>
            </w:r>
            <w:r w:rsidRPr="002B3E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B3EFA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684EA5">
              <w:rPr>
                <w:rFonts w:cs="Times New Roman"/>
                <w:sz w:val="20"/>
                <w:szCs w:val="20"/>
              </w:rPr>
              <w:t>Такролимус</w:t>
            </w:r>
            <w:proofErr w:type="spellEnd"/>
            <w:r w:rsidRPr="00684EA5">
              <w:rPr>
                <w:rFonts w:cs="Times New Roman"/>
                <w:sz w:val="20"/>
                <w:szCs w:val="20"/>
              </w:rPr>
              <w:t xml:space="preserve"> реагент на 100 определений для иммунохимического анализатора </w:t>
            </w:r>
            <w:proofErr w:type="spellStart"/>
            <w:r w:rsidRPr="00684EA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684EA5">
              <w:rPr>
                <w:rFonts w:cs="Times New Roman"/>
                <w:sz w:val="20"/>
                <w:szCs w:val="20"/>
              </w:rPr>
              <w:t xml:space="preserve"> I 1000</w:t>
            </w:r>
            <w:r w:rsidRPr="002B3EFA">
              <w:rPr>
                <w:rFonts w:cs="Times New Roman"/>
                <w:sz w:val="20"/>
                <w:szCs w:val="20"/>
              </w:rPr>
              <w:t>».</w:t>
            </w:r>
          </w:p>
          <w:p w14:paraId="07306167" w14:textId="77777777" w:rsidR="00706627" w:rsidRPr="00F13EE7" w:rsidRDefault="00706627" w:rsidP="00F13EE7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5BDC4392" w14:textId="3BAFA619" w:rsidR="007C6D80" w:rsidRPr="00684EA5" w:rsidRDefault="007C6D80" w:rsidP="007C6D80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B3EFA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Pr="002B3EFA">
              <w:rPr>
                <w:rFonts w:cs="Times New Roman"/>
                <w:b/>
                <w:sz w:val="20"/>
                <w:szCs w:val="20"/>
              </w:rPr>
              <w:t>ТОО</w:t>
            </w:r>
            <w:r w:rsidRPr="002B3EFA">
              <w:rPr>
                <w:rFonts w:cs="Times New Roman"/>
                <w:sz w:val="20"/>
                <w:szCs w:val="20"/>
              </w:rPr>
              <w:t xml:space="preserve"> </w:t>
            </w:r>
            <w:r w:rsidRPr="00684EA5">
              <w:rPr>
                <w:rFonts w:cs="Times New Roman"/>
                <w:b/>
                <w:sz w:val="20"/>
                <w:szCs w:val="20"/>
              </w:rPr>
              <w:t>«</w:t>
            </w:r>
            <w:r w:rsidR="00684EA5" w:rsidRPr="00684EA5">
              <w:rPr>
                <w:rFonts w:cs="Times New Roman"/>
                <w:b/>
                <w:sz w:val="20"/>
                <w:szCs w:val="20"/>
                <w:lang w:val="kk-KZ"/>
              </w:rPr>
              <w:t>Нур Торе</w:t>
            </w:r>
            <w:r w:rsidRPr="00684EA5">
              <w:rPr>
                <w:rFonts w:cs="Times New Roman"/>
                <w:b/>
                <w:sz w:val="20"/>
                <w:szCs w:val="20"/>
              </w:rPr>
              <w:t>»</w:t>
            </w:r>
            <w:r w:rsidR="00684EA5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84EA5" w:rsidRPr="00684EA5">
              <w:rPr>
                <w:rFonts w:cs="Times New Roman"/>
                <w:sz w:val="20"/>
                <w:szCs w:val="20"/>
              </w:rPr>
              <w:t>местонахождение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84EA5">
              <w:rPr>
                <w:rFonts w:cs="Times New Roman"/>
                <w:sz w:val="20"/>
                <w:szCs w:val="20"/>
                <w:lang w:val="kk-KZ"/>
              </w:rPr>
              <w:t xml:space="preserve">г. 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>Алматы</w:t>
            </w:r>
            <w:r w:rsidR="00684EA5" w:rsidRPr="00684EA5">
              <w:rPr>
                <w:rFonts w:cs="Times New Roman"/>
                <w:sz w:val="20"/>
                <w:szCs w:val="20"/>
              </w:rPr>
              <w:t xml:space="preserve">, </w:t>
            </w:r>
            <w:r w:rsidR="00684EA5">
              <w:rPr>
                <w:rFonts w:cs="Times New Roman"/>
                <w:sz w:val="20"/>
                <w:szCs w:val="20"/>
                <w:lang w:val="kk-KZ"/>
              </w:rPr>
              <w:t xml:space="preserve">ул. 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>Қабанбай батыр</w:t>
            </w:r>
            <w:r w:rsidR="00684EA5">
              <w:rPr>
                <w:rFonts w:cs="Times New Roman"/>
                <w:sz w:val="20"/>
                <w:szCs w:val="20"/>
                <w:lang w:val="kk-KZ"/>
              </w:rPr>
              <w:t>а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 xml:space="preserve"> 238</w:t>
            </w:r>
            <w:r w:rsidR="00684EA5">
              <w:rPr>
                <w:rFonts w:cs="Times New Roman"/>
                <w:sz w:val="20"/>
                <w:szCs w:val="20"/>
                <w:lang w:val="kk-KZ"/>
              </w:rPr>
              <w:t>,</w:t>
            </w:r>
            <w:r w:rsidR="00684EA5" w:rsidRP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84EA5">
              <w:rPr>
                <w:rFonts w:cs="Times New Roman"/>
                <w:sz w:val="20"/>
                <w:szCs w:val="20"/>
                <w:lang w:val="kk-KZ"/>
              </w:rPr>
              <w:t>1 863 511</w:t>
            </w:r>
            <w:r w:rsidR="00684EA5" w:rsidRPr="00684EA5">
              <w:rPr>
                <w:rFonts w:cs="Times New Roman"/>
                <w:sz w:val="20"/>
                <w:szCs w:val="20"/>
              </w:rPr>
              <w:t>,00 (один миллион восемьсот шестьдесят три тысячи пятьсот одиннадцать) тенге с учетом всех расходов связанных с поставкой.</w:t>
            </w:r>
          </w:p>
          <w:p w14:paraId="7D0DDFBB" w14:textId="4ED11320" w:rsidR="002B3EFA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№5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для 6000  (Биохимический модуль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 501) C-реактивный белок CRР LX на 300 тестов (на 300 определений)».</w:t>
            </w:r>
          </w:p>
          <w:p w14:paraId="542EDEDC" w14:textId="35650F00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№6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для 6000  (Биохимический модуль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 501) Альфа- амилаза AMYL 2 на 300 тестов,  (на 300 определений)».</w:t>
            </w:r>
          </w:p>
          <w:p w14:paraId="49AC2DB5" w14:textId="33681358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№7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для 6000  (Биохимический модуль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 501) Билирубин общий специальный  BIL-TS на 250 тестов, (на 250 определений)».</w:t>
            </w:r>
          </w:p>
          <w:p w14:paraId="2E37F2E5" w14:textId="3D605CE3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№8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для 6000  (Биохимический модуль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 501) Билирубин прямой BILD на 350 тестов,  (на 350 определений)».</w:t>
            </w:r>
          </w:p>
          <w:p w14:paraId="689D7347" w14:textId="4D294937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№9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для 6000  (Биохимический модуль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 501): Глюкоза GLUCL на 800 тестов,  (на 800 определений)».</w:t>
            </w:r>
          </w:p>
          <w:p w14:paraId="4B8A4D91" w14:textId="4E50DE2D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№10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для 6000  (Биохимический модуль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 501):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Креатинин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CREAJ на 700 тестов,  (на 700 определений)».</w:t>
            </w:r>
          </w:p>
          <w:p w14:paraId="15D0F9FC" w14:textId="2CF6D4CE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№11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для 6000  (Биохимический модуль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 501): Мочевина UREAL на 500 тестов,  (на 500 определений)».</w:t>
            </w:r>
          </w:p>
          <w:p w14:paraId="0496CC9B" w14:textId="3B0D0F09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№12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для 6000  (Биохимический модуль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 501): Триглицериды TRIGL на 250 тестов, (на 250 определений)».</w:t>
            </w:r>
          </w:p>
          <w:p w14:paraId="6FA1F6FA" w14:textId="4066E29B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№13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«Промыв раствор, детергент 2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Acid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wash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Solution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c 501)».</w:t>
            </w:r>
          </w:p>
          <w:p w14:paraId="55D94DAD" w14:textId="380765D9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№14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«Кассета: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Тропонин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T высокочувствительный STAT на 100 тестов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Troponin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T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hs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STAT,100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tests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,  на 100 определений к ИФА анализатору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e 411».</w:t>
            </w:r>
          </w:p>
          <w:p w14:paraId="47CBC095" w14:textId="31D5215D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№15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: Альфа Фито Протеин на 100 тестов AFP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Gen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, 1,1 Smoll,100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tests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,  на 100 определений  к ИФА анализатору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e 411».</w:t>
            </w:r>
          </w:p>
          <w:p w14:paraId="0E8BCB08" w14:textId="621C2FA3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№16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Elecsys:Анти-тиреопироксидаза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на 100 тестов   к ИФА анализатору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e 411».</w:t>
            </w:r>
          </w:p>
          <w:p w14:paraId="4A82B0F4" w14:textId="2ED40E87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№17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«Расходные материалы Очищающий раствор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CleanCell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6*380 мл к ИФА анализатору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e 411».</w:t>
            </w:r>
          </w:p>
          <w:p w14:paraId="5CA65120" w14:textId="1F3D7E8E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№18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«Расходные материалы Буферный раствор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Pro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sell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6*380 мл к ИФА анализатору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e 411».</w:t>
            </w:r>
          </w:p>
          <w:p w14:paraId="57E7AFD9" w14:textId="5F3EBA90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№19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«Расходные материалы Промывочный раствор 1*500 мл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Sys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Wash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Elecsys,cobas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e 1*500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к ИФА анализатору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e 411».</w:t>
            </w:r>
          </w:p>
          <w:p w14:paraId="5D6B23FF" w14:textId="697BABF8" w:rsidR="00706627" w:rsidRPr="00706627" w:rsidRDefault="00706627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lastRenderedPageBreak/>
              <w:t>№20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</w:rPr>
              <w:t xml:space="preserve">«Кассета: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гепатит В на 100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определний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  к ИФА анализатору </w:t>
            </w:r>
            <w:proofErr w:type="spellStart"/>
            <w:r w:rsidRPr="00706627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706627">
              <w:rPr>
                <w:rFonts w:cs="Times New Roman"/>
                <w:sz w:val="20"/>
                <w:szCs w:val="20"/>
              </w:rPr>
              <w:t xml:space="preserve"> e 411».</w:t>
            </w:r>
          </w:p>
          <w:p w14:paraId="3F4917E1" w14:textId="2172FDBB" w:rsidR="00706627" w:rsidRPr="00706627" w:rsidRDefault="00706627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№21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«Кассета Anti-HCV Gen2 Small Elecsys,cobas e 100 tests на 100 определений  к ИФА анализатору Cobas e 411».</w:t>
            </w:r>
          </w:p>
          <w:p w14:paraId="485FBC16" w14:textId="0CE97761" w:rsidR="00706627" w:rsidRPr="00684EA5" w:rsidRDefault="00706627" w:rsidP="00706627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6627">
              <w:rPr>
                <w:rFonts w:cs="Times New Roman"/>
                <w:sz w:val="20"/>
                <w:szCs w:val="20"/>
                <w:lang w:val="kk-KZ"/>
              </w:rPr>
              <w:t xml:space="preserve">- признать победителем </w:t>
            </w:r>
            <w:r w:rsidRPr="00706627">
              <w:rPr>
                <w:rFonts w:cs="Times New Roman"/>
                <w:b/>
                <w:sz w:val="20"/>
                <w:szCs w:val="20"/>
                <w:lang w:val="kk-KZ"/>
              </w:rPr>
              <w:t>ТОО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D65C02" w:rsidRPr="00D65C02">
              <w:rPr>
                <w:rFonts w:cs="Times New Roman"/>
                <w:b/>
                <w:sz w:val="20"/>
                <w:szCs w:val="20"/>
                <w:lang w:val="kk-KZ"/>
              </w:rPr>
              <w:t>«ТЦ Мастер»</w:t>
            </w:r>
            <w:r w:rsidR="00D65C02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>местонахождение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г. 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>Алматы</w:t>
            </w:r>
            <w:r w:rsidRPr="00706627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="00D65C02">
              <w:rPr>
                <w:rFonts w:cs="Times New Roman"/>
                <w:sz w:val="20"/>
                <w:szCs w:val="20"/>
                <w:lang w:val="kk-KZ"/>
              </w:rPr>
              <w:t>мкр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r w:rsidR="00D65C02">
              <w:rPr>
                <w:rFonts w:cs="Times New Roman"/>
                <w:sz w:val="20"/>
                <w:szCs w:val="20"/>
                <w:lang w:val="kk-KZ"/>
              </w:rPr>
              <w:t>Алмас, д.16</w:t>
            </w:r>
            <w:r>
              <w:rPr>
                <w:rFonts w:cs="Times New Roman"/>
                <w:sz w:val="20"/>
                <w:szCs w:val="20"/>
                <w:lang w:val="kk-KZ"/>
              </w:rPr>
              <w:t>,</w:t>
            </w:r>
            <w:r w:rsidRPr="00684EA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D65C02">
              <w:rPr>
                <w:rFonts w:cs="Times New Roman"/>
                <w:sz w:val="20"/>
                <w:szCs w:val="20"/>
                <w:lang w:val="kk-KZ"/>
              </w:rPr>
              <w:t>4 116 800</w:t>
            </w:r>
            <w:r w:rsidRPr="00684EA5">
              <w:rPr>
                <w:rFonts w:cs="Times New Roman"/>
                <w:sz w:val="20"/>
                <w:szCs w:val="20"/>
              </w:rPr>
              <w:t>,00 (</w:t>
            </w:r>
            <w:r w:rsidR="00D65C02" w:rsidRPr="00D65C02">
              <w:rPr>
                <w:rFonts w:cs="Times New Roman"/>
                <w:sz w:val="20"/>
                <w:szCs w:val="20"/>
              </w:rPr>
              <w:t>четыре миллиона сто шестнадцать тысяч восемьсот</w:t>
            </w:r>
            <w:r w:rsidRPr="00684EA5">
              <w:rPr>
                <w:rFonts w:cs="Times New Roman"/>
                <w:sz w:val="20"/>
                <w:szCs w:val="20"/>
              </w:rPr>
              <w:t>) тенге с учетом всех расходов связанных с поставкой.</w:t>
            </w:r>
          </w:p>
          <w:p w14:paraId="06922C2A" w14:textId="6635733E" w:rsidR="00712FC3" w:rsidRPr="002B3EFA" w:rsidRDefault="00712FC3" w:rsidP="00A634D4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F6671" w:rsidRPr="001F3DC2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1F3DC2" w14:paraId="1EE200A5" w14:textId="77777777" w:rsidTr="00712FC3">
              <w:tc>
                <w:tcPr>
                  <w:tcW w:w="2580" w:type="dxa"/>
                  <w:vAlign w:val="center"/>
                </w:tcPr>
                <w:p w14:paraId="02EDF830" w14:textId="7225D9D8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 xml:space="preserve">Бас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дәрігер</w:t>
                  </w:r>
                  <w:proofErr w:type="spellEnd"/>
                </w:p>
                <w:p w14:paraId="64409AAF" w14:textId="4B460624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1F3DC2" w:rsidRDefault="00034CAA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7D65BD44" w14:textId="77777777" w:rsidTr="00712FC3">
              <w:tc>
                <w:tcPr>
                  <w:tcW w:w="2580" w:type="dxa"/>
                  <w:vAlign w:val="center"/>
                </w:tcPr>
                <w:p w14:paraId="59C978ED" w14:textId="5D012715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F51BA51" w14:textId="3B62D323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3E7C6E2D" w14:textId="77777777" w:rsidTr="00712FC3">
              <w:tc>
                <w:tcPr>
                  <w:tcW w:w="2580" w:type="dxa"/>
                  <w:vAlign w:val="center"/>
                </w:tcPr>
                <w:p w14:paraId="7CE94D1E" w14:textId="1F538EB7" w:rsidR="00A634D4" w:rsidRPr="00712FC3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бөлімінің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1F3DC2" w:rsidRDefault="00A634D4" w:rsidP="00A634D4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E90668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712FC3" w:rsidRDefault="00A634D4" w:rsidP="00A634D4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val="kk-KZ" w:bidi="ar-SA"/>
                    </w:rPr>
                  </w:pP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4CE0D793" w14:textId="77777777" w:rsidTr="00712FC3">
              <w:tc>
                <w:tcPr>
                  <w:tcW w:w="2580" w:type="dxa"/>
                  <w:vAlign w:val="center"/>
                </w:tcPr>
                <w:p w14:paraId="469B86C5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Дәріхана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1F3DC2" w14:paraId="71E5680A" w14:textId="77777777" w:rsidTr="00712FC3">
              <w:tc>
                <w:tcPr>
                  <w:tcW w:w="2580" w:type="dxa"/>
                  <w:vAlign w:val="center"/>
                </w:tcPr>
                <w:p w14:paraId="70A2AD01" w14:textId="08F3B2DE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бөлім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1F3DC2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1F3DC2" w14:paraId="5CD7AFA8" w14:textId="77777777" w:rsidTr="00712FC3">
              <w:tc>
                <w:tcPr>
                  <w:tcW w:w="2580" w:type="dxa"/>
                  <w:vAlign w:val="center"/>
                </w:tcPr>
                <w:p w14:paraId="3B46A223" w14:textId="77777777" w:rsidR="002B3EFA" w:rsidRPr="0025016A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25016A" w:rsidRDefault="002B3EFA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25016A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25016A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1F3DC2" w14:paraId="577B8E12" w14:textId="77777777" w:rsidTr="00712FC3">
              <w:tc>
                <w:tcPr>
                  <w:tcW w:w="2580" w:type="dxa"/>
                  <w:vAlign w:val="center"/>
                </w:tcPr>
                <w:p w14:paraId="6272B707" w14:textId="77777777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бөлімінің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1F3DC2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1F3DC2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1F3DC2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1F3DC2" w:rsidRDefault="008F6671" w:rsidP="001D13D3">
      <w:pPr>
        <w:rPr>
          <w:rFonts w:cs="Times New Roman"/>
          <w:sz w:val="20"/>
          <w:szCs w:val="20"/>
        </w:rPr>
      </w:pPr>
    </w:p>
    <w:sectPr w:rsidR="008F6671" w:rsidRPr="001F3DC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40BF3"/>
    <w:rsid w:val="000816AC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D13D3"/>
    <w:rsid w:val="001E0D56"/>
    <w:rsid w:val="001E64D6"/>
    <w:rsid w:val="001F3DC2"/>
    <w:rsid w:val="001F61DF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D1FE4"/>
    <w:rsid w:val="005E3D82"/>
    <w:rsid w:val="005E4CFA"/>
    <w:rsid w:val="005E594C"/>
    <w:rsid w:val="00626752"/>
    <w:rsid w:val="00651819"/>
    <w:rsid w:val="006548D2"/>
    <w:rsid w:val="00664DF9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7C54"/>
    <w:rsid w:val="008F6671"/>
    <w:rsid w:val="00903FB2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D22A4"/>
    <w:rsid w:val="009E576A"/>
    <w:rsid w:val="00A02FC4"/>
    <w:rsid w:val="00A217A2"/>
    <w:rsid w:val="00A477D9"/>
    <w:rsid w:val="00A6202F"/>
    <w:rsid w:val="00A634D4"/>
    <w:rsid w:val="00A93747"/>
    <w:rsid w:val="00A94BA6"/>
    <w:rsid w:val="00AA0E20"/>
    <w:rsid w:val="00AA6A3A"/>
    <w:rsid w:val="00AE092C"/>
    <w:rsid w:val="00AE11FF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352E"/>
    <w:rsid w:val="00BD5FD3"/>
    <w:rsid w:val="00BF1FB3"/>
    <w:rsid w:val="00BF50BF"/>
    <w:rsid w:val="00C03753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D0C5B"/>
    <w:rsid w:val="00D15800"/>
    <w:rsid w:val="00D20475"/>
    <w:rsid w:val="00D317D8"/>
    <w:rsid w:val="00D42BC4"/>
    <w:rsid w:val="00D559A2"/>
    <w:rsid w:val="00D56C11"/>
    <w:rsid w:val="00D65129"/>
    <w:rsid w:val="00D65C02"/>
    <w:rsid w:val="00D72316"/>
    <w:rsid w:val="00D7587E"/>
    <w:rsid w:val="00D9039E"/>
    <w:rsid w:val="00D946BA"/>
    <w:rsid w:val="00DB1296"/>
    <w:rsid w:val="00E22874"/>
    <w:rsid w:val="00E42062"/>
    <w:rsid w:val="00E62F4F"/>
    <w:rsid w:val="00E85283"/>
    <w:rsid w:val="00E90668"/>
    <w:rsid w:val="00E9243D"/>
    <w:rsid w:val="00EF199D"/>
    <w:rsid w:val="00F073F9"/>
    <w:rsid w:val="00F13EE7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  <w15:docId w15:val="{FC865C9C-DF1C-433A-86E8-0429CCB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0E8D-ACEB-4B29-A67B-D2A68291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6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Каракат Жанабайкызы</cp:lastModifiedBy>
  <cp:revision>57</cp:revision>
  <cp:lastPrinted>2023-09-08T01:20:00Z</cp:lastPrinted>
  <dcterms:created xsi:type="dcterms:W3CDTF">2023-03-01T09:57:00Z</dcterms:created>
  <dcterms:modified xsi:type="dcterms:W3CDTF">2023-09-08T01:22:00Z</dcterms:modified>
</cp:coreProperties>
</file>