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852DF" w:rsidTr="007A01F1">
        <w:tc>
          <w:tcPr>
            <w:tcW w:w="4927" w:type="dxa"/>
          </w:tcPr>
          <w:p w:rsidR="007A01F1" w:rsidRPr="009852DF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2DF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9852DF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5F6B81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5F6B81" w:rsidRPr="005F6B81">
              <w:rPr>
                <w:rFonts w:cs="Times New Roman"/>
                <w:b/>
                <w:sz w:val="18"/>
                <w:szCs w:val="18"/>
                <w:u w:val="single"/>
                <w:lang w:val="kk-KZ"/>
              </w:rPr>
              <w:t>қайта</w:t>
            </w:r>
            <w:r w:rsidR="005F6B81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9852DF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9852DF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52DF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9852D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9852D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9852DF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52DF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693141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  <w:r w:rsidRPr="009852DF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693141">
              <w:rPr>
                <w:rFonts w:ascii="Times New Roman" w:hAnsi="Times New Roman"/>
                <w:sz w:val="18"/>
                <w:szCs w:val="18"/>
                <w:lang w:val="kk-KZ"/>
              </w:rPr>
              <w:t>қазан</w:t>
            </w:r>
            <w:r w:rsidR="00A33AE9" w:rsidRPr="009852DF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9852DF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9852DF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9852DF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852DF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9852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9852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Денсаулық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сақтау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министрінің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2023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жылғы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маусымдағы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№ 110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бұйрығына</w:t>
            </w:r>
            <w:proofErr w:type="spellEnd"/>
            <w:r w:rsidR="003B606E" w:rsidRPr="00985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жасалды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Тегін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кепілдік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берілген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шеңберінде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тергеу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изоляторлары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қылмысты</w:t>
            </w:r>
            <w:proofErr w:type="gram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қ-</w:t>
            </w:r>
            <w:proofErr w:type="gram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атқару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пенитенциарлық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жүйесінің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мекемелерінде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ұсталатын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адамдар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қосымша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көлемін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бюджет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қаражаты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есебінен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әлеуметтік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сақтандыру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жүйесінде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арнайы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емдік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өнімдерді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қызметтерді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ұйымдастыру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қағидаларын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бекіту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» (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бұдан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</w:t>
            </w:r>
            <w:proofErr w:type="gram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Ережелер</w:t>
            </w:r>
            <w:proofErr w:type="spellEnd"/>
            <w:r w:rsidR="003B606E" w:rsidRPr="009852D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).</w:t>
            </w:r>
          </w:p>
          <w:p w:rsidR="007A01F1" w:rsidRPr="009852DF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52DF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9852D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9852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9852DF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9852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52D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9852DF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9852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9852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9852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9852DF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9852DF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9852DF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9852DF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9852DF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9852DF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9852DF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9852DF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9852DF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9852DF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5F6B8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9852DF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  <w:r w:rsidR="005F6B81" w:rsidRPr="005F6B81">
              <w:rPr>
                <w:rFonts w:cs="Times New Roman"/>
                <w:b/>
                <w:sz w:val="18"/>
                <w:szCs w:val="18"/>
                <w:u w:val="single"/>
                <w:lang w:val="kk-KZ"/>
              </w:rPr>
              <w:t>повторного</w:t>
            </w:r>
          </w:p>
          <w:p w:rsidR="007A01F1" w:rsidRPr="009852DF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52DF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9852DF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9852DF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9852DF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9852DF">
              <w:rPr>
                <w:rFonts w:cs="Times New Roman"/>
                <w:sz w:val="18"/>
                <w:szCs w:val="18"/>
              </w:rPr>
              <w:t xml:space="preserve">     «</w:t>
            </w:r>
            <w:r w:rsidR="00693141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9852DF">
              <w:rPr>
                <w:rFonts w:cs="Times New Roman"/>
                <w:sz w:val="18"/>
                <w:szCs w:val="18"/>
              </w:rPr>
              <w:t xml:space="preserve">» </w:t>
            </w:r>
            <w:r w:rsidR="00693141">
              <w:rPr>
                <w:rFonts w:cs="Times New Roman"/>
                <w:sz w:val="18"/>
                <w:szCs w:val="18"/>
                <w:lang w:val="kk-KZ"/>
              </w:rPr>
              <w:t>октября</w:t>
            </w:r>
            <w:r w:rsidRPr="009852DF">
              <w:rPr>
                <w:rFonts w:cs="Times New Roman"/>
                <w:sz w:val="18"/>
                <w:szCs w:val="18"/>
              </w:rPr>
              <w:t xml:space="preserve"> 202</w:t>
            </w:r>
            <w:r w:rsidR="00A33AE9" w:rsidRPr="009852DF">
              <w:rPr>
                <w:rFonts w:cs="Times New Roman"/>
                <w:sz w:val="18"/>
                <w:szCs w:val="18"/>
              </w:rPr>
              <w:t>3</w:t>
            </w:r>
            <w:r w:rsidRPr="009852DF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9852DF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9852DF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9852DF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9852DF">
              <w:rPr>
                <w:color w:val="000000" w:themeColor="text1"/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9852DF">
              <w:rPr>
                <w:color w:val="000000" w:themeColor="text1"/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9852DF">
              <w:rPr>
                <w:rStyle w:val="s1"/>
                <w:b w:val="0"/>
                <w:sz w:val="18"/>
                <w:szCs w:val="18"/>
              </w:rPr>
              <w:t xml:space="preserve"> </w:t>
            </w:r>
          </w:p>
          <w:p w:rsidR="007A01F1" w:rsidRPr="009852DF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9852DF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9852DF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9852DF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9852DF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9852DF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9852DF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9852DF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402"/>
        <w:gridCol w:w="991"/>
        <w:gridCol w:w="991"/>
        <w:gridCol w:w="1447"/>
        <w:gridCol w:w="1250"/>
      </w:tblGrid>
      <w:tr w:rsidR="002E0940" w:rsidRPr="009852DF" w:rsidTr="009852DF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E0940" w:rsidRPr="009852DF" w:rsidRDefault="002E0940" w:rsidP="009852DF">
            <w:pPr>
              <w:rPr>
                <w:rFonts w:cs="Times New Roman"/>
                <w:b/>
                <w:sz w:val="16"/>
                <w:szCs w:val="16"/>
              </w:rPr>
            </w:pPr>
            <w:r w:rsidRPr="009852DF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2E0940" w:rsidRPr="009852DF" w:rsidRDefault="002E0940" w:rsidP="009852DF">
            <w:pPr>
              <w:rPr>
                <w:rFonts w:cs="Times New Roman"/>
                <w:b/>
                <w:sz w:val="16"/>
                <w:szCs w:val="16"/>
              </w:rPr>
            </w:pPr>
            <w:r w:rsidRPr="009852DF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2E0940" w:rsidRPr="009852DF" w:rsidRDefault="002E0940" w:rsidP="009852DF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852DF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9852DF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E0940" w:rsidRPr="009852DF" w:rsidRDefault="002E0940" w:rsidP="009852DF">
            <w:pPr>
              <w:rPr>
                <w:rFonts w:cs="Times New Roman"/>
                <w:b/>
                <w:sz w:val="16"/>
                <w:szCs w:val="16"/>
              </w:rPr>
            </w:pPr>
            <w:r w:rsidRPr="009852DF">
              <w:rPr>
                <w:rFonts w:cs="Times New Roman"/>
                <w:b/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E0940" w:rsidRPr="009852DF" w:rsidRDefault="002E0940" w:rsidP="009852DF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852DF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spellEnd"/>
            <w:r w:rsidRPr="009852DF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6"/>
                <w:szCs w:val="16"/>
              </w:rPr>
              <w:t>бірліг</w:t>
            </w:r>
            <w:proofErr w:type="gramStart"/>
            <w:r w:rsidRPr="009852DF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9852DF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9852DF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2E0940" w:rsidRPr="009852DF" w:rsidRDefault="002E0940" w:rsidP="009852DF">
            <w:pPr>
              <w:rPr>
                <w:rFonts w:cs="Times New Roman"/>
                <w:b/>
                <w:sz w:val="16"/>
                <w:szCs w:val="16"/>
              </w:rPr>
            </w:pPr>
            <w:r w:rsidRPr="009852DF">
              <w:rPr>
                <w:rFonts w:cs="Times New Roman"/>
                <w:b/>
                <w:sz w:val="16"/>
                <w:szCs w:val="16"/>
              </w:rPr>
              <w:t>Саны / 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E0940" w:rsidRPr="009852DF" w:rsidRDefault="002E0940" w:rsidP="009852DF">
            <w:pPr>
              <w:rPr>
                <w:rFonts w:cs="Times New Roman"/>
                <w:b/>
                <w:sz w:val="16"/>
                <w:szCs w:val="16"/>
              </w:rPr>
            </w:pPr>
            <w:r w:rsidRPr="009852DF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9852DF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9852DF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9852DF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9852DF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9852DF">
              <w:rPr>
                <w:rFonts w:cs="Times New Roman"/>
                <w:b/>
                <w:sz w:val="16"/>
                <w:szCs w:val="16"/>
              </w:rPr>
              <w:t xml:space="preserve"> / Цена за единицу по лотам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2E0940" w:rsidRPr="009852DF" w:rsidRDefault="002E0940" w:rsidP="009852DF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852DF">
              <w:rPr>
                <w:rFonts w:cs="Times New Roman"/>
                <w:b/>
                <w:sz w:val="16"/>
                <w:szCs w:val="16"/>
              </w:rPr>
              <w:t>Бө</w:t>
            </w:r>
            <w:proofErr w:type="gramStart"/>
            <w:r w:rsidRPr="009852DF">
              <w:rPr>
                <w:rFonts w:cs="Times New Roman"/>
                <w:b/>
                <w:sz w:val="16"/>
                <w:szCs w:val="16"/>
              </w:rPr>
              <w:t>л</w:t>
            </w:r>
            <w:proofErr w:type="gramEnd"/>
            <w:r w:rsidRPr="009852DF">
              <w:rPr>
                <w:rFonts w:cs="Times New Roman"/>
                <w:b/>
                <w:sz w:val="16"/>
                <w:szCs w:val="16"/>
              </w:rPr>
              <w:t>інген</w:t>
            </w:r>
            <w:proofErr w:type="spellEnd"/>
            <w:r w:rsidRPr="009852DF">
              <w:rPr>
                <w:rFonts w:cs="Times New Roman"/>
                <w:b/>
                <w:sz w:val="16"/>
                <w:szCs w:val="16"/>
              </w:rPr>
              <w:t xml:space="preserve"> сома / Выделенная сумма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852DF">
              <w:rPr>
                <w:sz w:val="16"/>
                <w:szCs w:val="16"/>
              </w:rPr>
              <w:t>A</w:t>
            </w:r>
            <w:proofErr w:type="gramEnd"/>
            <w:r w:rsidRPr="009852DF">
              <w:rPr>
                <w:sz w:val="16"/>
                <w:szCs w:val="16"/>
              </w:rPr>
              <w:t>нтитела</w:t>
            </w:r>
            <w:proofErr w:type="spellEnd"/>
            <w:r w:rsidRPr="009852DF">
              <w:rPr>
                <w:sz w:val="16"/>
                <w:szCs w:val="16"/>
              </w:rPr>
              <w:t xml:space="preserve"> к AFP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</w:t>
            </w:r>
            <w:proofErr w:type="gramStart"/>
            <w:r w:rsidRPr="009852DF">
              <w:rPr>
                <w:sz w:val="16"/>
                <w:szCs w:val="16"/>
              </w:rPr>
              <w:t>к</w:t>
            </w:r>
            <w:proofErr w:type="gramEnd"/>
            <w:r w:rsidRPr="009852DF">
              <w:rPr>
                <w:sz w:val="16"/>
                <w:szCs w:val="16"/>
              </w:rPr>
              <w:t xml:space="preserve"> </w:t>
            </w:r>
            <w:proofErr w:type="gramStart"/>
            <w:r w:rsidRPr="009852DF">
              <w:rPr>
                <w:sz w:val="16"/>
                <w:szCs w:val="16"/>
              </w:rPr>
              <w:t>альфа</w:t>
            </w:r>
            <w:proofErr w:type="gram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фетопротеину</w:t>
            </w:r>
            <w:proofErr w:type="spellEnd"/>
            <w:r w:rsidRPr="009852DF">
              <w:rPr>
                <w:sz w:val="16"/>
                <w:szCs w:val="16"/>
              </w:rPr>
              <w:t xml:space="preserve">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C3, 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</w:t>
            </w:r>
            <w:proofErr w:type="gramStart"/>
            <w:r w:rsidRPr="009852DF">
              <w:rPr>
                <w:sz w:val="16"/>
                <w:szCs w:val="16"/>
              </w:rPr>
              <w:t>к</w:t>
            </w:r>
            <w:proofErr w:type="gramEnd"/>
            <w:r w:rsidRPr="009852DF">
              <w:rPr>
                <w:sz w:val="16"/>
                <w:szCs w:val="16"/>
              </w:rPr>
              <w:t xml:space="preserve"> бета </w:t>
            </w:r>
            <w:proofErr w:type="spellStart"/>
            <w:r w:rsidRPr="009852DF">
              <w:rPr>
                <w:sz w:val="16"/>
                <w:szCs w:val="16"/>
              </w:rPr>
              <w:t>катенину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</w:t>
            </w:r>
            <w:proofErr w:type="gramStart"/>
            <w:r w:rsidRPr="009852DF">
              <w:rPr>
                <w:sz w:val="16"/>
                <w:szCs w:val="16"/>
              </w:rPr>
              <w:t>к</w:t>
            </w:r>
            <w:proofErr w:type="gramEnd"/>
            <w:r w:rsidRPr="009852DF">
              <w:rPr>
                <w:sz w:val="16"/>
                <w:szCs w:val="16"/>
              </w:rPr>
              <w:t xml:space="preserve"> </w:t>
            </w:r>
            <w:proofErr w:type="gramStart"/>
            <w:r w:rsidRPr="009852DF">
              <w:rPr>
                <w:sz w:val="16"/>
                <w:szCs w:val="16"/>
              </w:rPr>
              <w:t>бета</w:t>
            </w:r>
            <w:proofErr w:type="gram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катенину</w:t>
            </w:r>
            <w:proofErr w:type="spellEnd"/>
            <w:r w:rsidRPr="009852DF">
              <w:rPr>
                <w:sz w:val="16"/>
                <w:szCs w:val="16"/>
              </w:rPr>
              <w:t xml:space="preserve">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17C2,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карциноэмбриональному антигену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карциноэмбриональному антигену (CD66e),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COL-1,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CD10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CD10,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исследованийна</w:t>
            </w:r>
            <w:proofErr w:type="spellEnd"/>
            <w:r w:rsidRPr="009852DF">
              <w:rPr>
                <w:sz w:val="16"/>
                <w:szCs w:val="16"/>
              </w:rPr>
              <w:t xml:space="preserve"> парафиновых </w:t>
            </w:r>
            <w:proofErr w:type="gramStart"/>
            <w:r w:rsidRPr="009852DF">
              <w:rPr>
                <w:sz w:val="16"/>
                <w:szCs w:val="16"/>
              </w:rPr>
              <w:t>срезах</w:t>
            </w:r>
            <w:proofErr w:type="gramEnd"/>
            <w:r w:rsidRPr="009852DF">
              <w:rPr>
                <w:sz w:val="16"/>
                <w:szCs w:val="16"/>
              </w:rPr>
              <w:t xml:space="preserve">, клон 56C6,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 к CD117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кроличьи антитела к CD117,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EP10, 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Антитела к CD34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маркеру клеток эндотелия,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</w:t>
            </w:r>
            <w:proofErr w:type="spellStart"/>
            <w:r w:rsidRPr="009852DF">
              <w:rPr>
                <w:sz w:val="16"/>
                <w:szCs w:val="16"/>
              </w:rPr>
              <w:t>QBEnd</w:t>
            </w:r>
            <w:proofErr w:type="spellEnd"/>
            <w:r w:rsidRPr="009852DF">
              <w:rPr>
                <w:sz w:val="16"/>
                <w:szCs w:val="16"/>
              </w:rPr>
              <w:t xml:space="preserve">/10,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Антитела к CDX2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кроличьи антитела к CDX2,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EP25, готовая к использованию форма, объем не менее</w:t>
            </w:r>
            <w:proofErr w:type="gramStart"/>
            <w:r w:rsidRPr="009852DF">
              <w:rPr>
                <w:sz w:val="16"/>
                <w:szCs w:val="16"/>
              </w:rPr>
              <w:t>7</w:t>
            </w:r>
            <w:proofErr w:type="gramEnd"/>
            <w:r w:rsidRPr="009852DF">
              <w:rPr>
                <w:sz w:val="16"/>
                <w:szCs w:val="16"/>
              </w:rPr>
              <w:t xml:space="preserve">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 c-erbB-2 </w:t>
            </w:r>
            <w:proofErr w:type="spellStart"/>
            <w:r w:rsidRPr="009852DF">
              <w:rPr>
                <w:sz w:val="16"/>
                <w:szCs w:val="16"/>
              </w:rPr>
              <w:t>Oncoprotein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c-erbB-2 </w:t>
            </w:r>
            <w:proofErr w:type="spellStart"/>
            <w:r w:rsidRPr="009852DF">
              <w:rPr>
                <w:sz w:val="16"/>
                <w:szCs w:val="16"/>
              </w:rPr>
              <w:t>онкопротеину</w:t>
            </w:r>
            <w:proofErr w:type="spellEnd"/>
            <w:r w:rsidRPr="009852DF">
              <w:rPr>
                <w:sz w:val="16"/>
                <w:szCs w:val="16"/>
              </w:rPr>
              <w:t xml:space="preserve">, для </w:t>
            </w:r>
            <w:proofErr w:type="spellStart"/>
            <w:r w:rsidRPr="009852DF">
              <w:rPr>
                <w:sz w:val="16"/>
                <w:szCs w:val="16"/>
              </w:rPr>
              <w:lastRenderedPageBreak/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СВ11,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lastRenderedPageBreak/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222 540,60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222 540,60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9852DF">
              <w:rPr>
                <w:sz w:val="16"/>
                <w:szCs w:val="16"/>
              </w:rPr>
              <w:t>хромогранину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хромогранину</w:t>
            </w:r>
            <w:proofErr w:type="spellEnd"/>
            <w:proofErr w:type="gramStart"/>
            <w:r w:rsidRPr="009852DF">
              <w:rPr>
                <w:sz w:val="16"/>
                <w:szCs w:val="16"/>
              </w:rPr>
              <w:t xml:space="preserve"> А</w:t>
            </w:r>
            <w:proofErr w:type="gramEnd"/>
            <w:r w:rsidRPr="009852DF">
              <w:rPr>
                <w:sz w:val="16"/>
                <w:szCs w:val="16"/>
              </w:rPr>
              <w:t xml:space="preserve">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5H7,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 к </w:t>
            </w:r>
            <w:proofErr w:type="spellStart"/>
            <w:r w:rsidRPr="009852DF">
              <w:rPr>
                <w:sz w:val="16"/>
                <w:szCs w:val="16"/>
              </w:rPr>
              <w:t>цитокератину</w:t>
            </w:r>
            <w:proofErr w:type="spellEnd"/>
            <w:r w:rsidRPr="009852DF">
              <w:rPr>
                <w:sz w:val="16"/>
                <w:szCs w:val="16"/>
              </w:rPr>
              <w:t xml:space="preserve"> 19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цитокератину</w:t>
            </w:r>
            <w:proofErr w:type="spellEnd"/>
            <w:r w:rsidRPr="009852DF">
              <w:rPr>
                <w:sz w:val="16"/>
                <w:szCs w:val="16"/>
              </w:rPr>
              <w:t xml:space="preserve"> 19,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 срезах, клон b170,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9852DF">
              <w:rPr>
                <w:sz w:val="16"/>
                <w:szCs w:val="16"/>
              </w:rPr>
              <w:t>цитокератину</w:t>
            </w:r>
            <w:proofErr w:type="spellEnd"/>
            <w:r w:rsidRPr="009852DF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цитокератину</w:t>
            </w:r>
            <w:proofErr w:type="spellEnd"/>
            <w:r w:rsidRPr="009852DF">
              <w:rPr>
                <w:sz w:val="16"/>
                <w:szCs w:val="16"/>
              </w:rPr>
              <w:t xml:space="preserve"> 20,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 срезах, клон Ks20.8,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9852DF">
              <w:rPr>
                <w:sz w:val="16"/>
                <w:szCs w:val="16"/>
              </w:rPr>
              <w:t>цитокератину</w:t>
            </w:r>
            <w:proofErr w:type="spellEnd"/>
            <w:r w:rsidRPr="009852DF">
              <w:rPr>
                <w:sz w:val="16"/>
                <w:szCs w:val="16"/>
              </w:rPr>
              <w:t xml:space="preserve"> 7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цитокератину</w:t>
            </w:r>
            <w:proofErr w:type="spellEnd"/>
            <w:r w:rsidRPr="009852DF">
              <w:rPr>
                <w:sz w:val="16"/>
                <w:szCs w:val="16"/>
              </w:rPr>
              <w:t xml:space="preserve"> 7,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RN7,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9852DF">
              <w:rPr>
                <w:sz w:val="16"/>
                <w:szCs w:val="16"/>
              </w:rPr>
              <w:t>цитокератину</w:t>
            </w:r>
            <w:proofErr w:type="spellEnd"/>
            <w:r w:rsidRPr="009852DF">
              <w:rPr>
                <w:sz w:val="16"/>
                <w:szCs w:val="16"/>
              </w:rPr>
              <w:t xml:space="preserve"> 8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цитокератину</w:t>
            </w:r>
            <w:proofErr w:type="spellEnd"/>
            <w:r w:rsidRPr="009852DF">
              <w:rPr>
                <w:sz w:val="16"/>
                <w:szCs w:val="16"/>
              </w:rPr>
              <w:t xml:space="preserve"> 8,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 парафиновых срезах, клон TS1,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9852DF">
              <w:rPr>
                <w:sz w:val="16"/>
                <w:szCs w:val="16"/>
              </w:rPr>
              <w:t>цитокератину</w:t>
            </w:r>
            <w:proofErr w:type="spellEnd"/>
            <w:r w:rsidRPr="009852DF">
              <w:rPr>
                <w:sz w:val="16"/>
                <w:szCs w:val="16"/>
              </w:rPr>
              <w:t xml:space="preserve"> 8/18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цитокератину</w:t>
            </w:r>
            <w:proofErr w:type="spellEnd"/>
            <w:r w:rsidRPr="009852DF">
              <w:rPr>
                <w:sz w:val="16"/>
                <w:szCs w:val="16"/>
              </w:rPr>
              <w:t xml:space="preserve"> (8/18),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 срезах, клон 5D3 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9852DF">
              <w:rPr>
                <w:sz w:val="16"/>
                <w:szCs w:val="16"/>
              </w:rPr>
              <w:t>десмину</w:t>
            </w:r>
            <w:proofErr w:type="spellEnd"/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десмину</w:t>
            </w:r>
            <w:proofErr w:type="spellEnd"/>
            <w:r w:rsidRPr="009852DF">
              <w:rPr>
                <w:sz w:val="16"/>
                <w:szCs w:val="16"/>
              </w:rPr>
              <w:t xml:space="preserve">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и  срезах, клон DE-R-11,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Антитела к Ki67 антигену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Ki67 антигену,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 клон K2,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9852DF">
              <w:rPr>
                <w:sz w:val="16"/>
                <w:szCs w:val="16"/>
              </w:rPr>
              <w:t>напсин</w:t>
            </w:r>
            <w:proofErr w:type="spellEnd"/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напсину</w:t>
            </w:r>
            <w:proofErr w:type="spellEnd"/>
            <w:proofErr w:type="gramStart"/>
            <w:r w:rsidRPr="009852DF">
              <w:rPr>
                <w:sz w:val="16"/>
                <w:szCs w:val="16"/>
              </w:rPr>
              <w:t xml:space="preserve"> А</w:t>
            </w:r>
            <w:proofErr w:type="gramEnd"/>
            <w:r w:rsidRPr="009852DF">
              <w:rPr>
                <w:sz w:val="16"/>
                <w:szCs w:val="16"/>
              </w:rPr>
              <w:t xml:space="preserve">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IP64,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852DF">
              <w:rPr>
                <w:sz w:val="16"/>
                <w:szCs w:val="16"/>
              </w:rPr>
              <w:t>A</w:t>
            </w:r>
            <w:proofErr w:type="gramEnd"/>
            <w:r w:rsidRPr="009852DF">
              <w:rPr>
                <w:sz w:val="16"/>
                <w:szCs w:val="16"/>
              </w:rPr>
              <w:t>нтитела</w:t>
            </w:r>
            <w:proofErr w:type="spellEnd"/>
            <w:r w:rsidRPr="009852DF">
              <w:rPr>
                <w:sz w:val="16"/>
                <w:szCs w:val="16"/>
              </w:rPr>
              <w:t xml:space="preserve"> к Е-</w:t>
            </w:r>
            <w:proofErr w:type="spellStart"/>
            <w:r w:rsidRPr="009852DF">
              <w:rPr>
                <w:sz w:val="16"/>
                <w:szCs w:val="16"/>
              </w:rPr>
              <w:t>кадхерину</w:t>
            </w:r>
            <w:proofErr w:type="spellEnd"/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E-</w:t>
            </w:r>
            <w:proofErr w:type="spellStart"/>
            <w:r w:rsidRPr="009852DF">
              <w:rPr>
                <w:sz w:val="16"/>
                <w:szCs w:val="16"/>
              </w:rPr>
              <w:t>кадгерину</w:t>
            </w:r>
            <w:proofErr w:type="spellEnd"/>
            <w:r w:rsidRPr="009852DF">
              <w:rPr>
                <w:sz w:val="16"/>
                <w:szCs w:val="16"/>
              </w:rPr>
              <w:t xml:space="preserve">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36B5,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9852DF">
              <w:rPr>
                <w:sz w:val="16"/>
                <w:szCs w:val="16"/>
              </w:rPr>
              <w:t>синаптофизину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синаптофизину</w:t>
            </w:r>
            <w:proofErr w:type="spellEnd"/>
            <w:r w:rsidRPr="009852DF">
              <w:rPr>
                <w:sz w:val="16"/>
                <w:szCs w:val="16"/>
              </w:rPr>
              <w:t xml:space="preserve">, 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27G12,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r w:rsidRPr="009852DF">
              <w:rPr>
                <w:sz w:val="16"/>
                <w:szCs w:val="16"/>
              </w:rPr>
              <w:lastRenderedPageBreak/>
              <w:t xml:space="preserve">окрашивания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lastRenderedPageBreak/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9852DF">
              <w:rPr>
                <w:sz w:val="16"/>
                <w:szCs w:val="16"/>
              </w:rPr>
              <w:t>виментину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виментину</w:t>
            </w:r>
            <w:proofErr w:type="spellEnd"/>
            <w:r w:rsidRPr="009852DF">
              <w:rPr>
                <w:sz w:val="16"/>
                <w:szCs w:val="16"/>
              </w:rPr>
              <w:t xml:space="preserve">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V9,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Антитела к NSE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мышиные антитела к </w:t>
            </w:r>
            <w:proofErr w:type="spellStart"/>
            <w:r w:rsidRPr="009852DF">
              <w:rPr>
                <w:sz w:val="16"/>
                <w:szCs w:val="16"/>
              </w:rPr>
              <w:t>Neuron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Specific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Enolase</w:t>
            </w:r>
            <w:proofErr w:type="spellEnd"/>
            <w:r w:rsidRPr="009852DF">
              <w:rPr>
                <w:sz w:val="16"/>
                <w:szCs w:val="16"/>
              </w:rPr>
              <w:t xml:space="preserve">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22C9 готовая к использованию форма,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Антитела к CDX2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spellStart"/>
            <w:r w:rsidRPr="009852DF">
              <w:rPr>
                <w:sz w:val="16"/>
                <w:szCs w:val="16"/>
              </w:rPr>
              <w:t>Моноклональные</w:t>
            </w:r>
            <w:proofErr w:type="spellEnd"/>
            <w:r w:rsidRPr="009852DF">
              <w:rPr>
                <w:sz w:val="16"/>
                <w:szCs w:val="16"/>
              </w:rPr>
              <w:t xml:space="preserve"> кроличьи антитела к CDX2, для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иммуногистохимических</w:t>
            </w:r>
            <w:proofErr w:type="spellEnd"/>
            <w:r w:rsidRPr="009852DF">
              <w:rPr>
                <w:sz w:val="16"/>
                <w:szCs w:val="16"/>
              </w:rPr>
              <w:t xml:space="preserve"> исследований на парафиновых срезах, клон EP25, готовая к использованию форма, объем не менее</w:t>
            </w:r>
            <w:proofErr w:type="gramStart"/>
            <w:r w:rsidRPr="009852DF">
              <w:rPr>
                <w:sz w:val="16"/>
                <w:szCs w:val="16"/>
              </w:rPr>
              <w:t>7</w:t>
            </w:r>
            <w:proofErr w:type="gramEnd"/>
            <w:r w:rsidRPr="009852DF">
              <w:rPr>
                <w:sz w:val="16"/>
                <w:szCs w:val="16"/>
              </w:rPr>
              <w:t xml:space="preserve">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188 606,32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Набор реагентов для </w:t>
            </w:r>
            <w:proofErr w:type="spellStart"/>
            <w:r w:rsidRPr="009852DF">
              <w:rPr>
                <w:sz w:val="16"/>
                <w:szCs w:val="16"/>
              </w:rPr>
              <w:t>детекции</w:t>
            </w:r>
            <w:proofErr w:type="spellEnd"/>
            <w:r w:rsidRPr="009852DF">
              <w:rPr>
                <w:sz w:val="16"/>
                <w:szCs w:val="16"/>
              </w:rPr>
              <w:t xml:space="preserve">  на основе Полимера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Набор реагентов для </w:t>
            </w:r>
            <w:proofErr w:type="spellStart"/>
            <w:r w:rsidRPr="009852DF">
              <w:rPr>
                <w:sz w:val="16"/>
                <w:szCs w:val="16"/>
              </w:rPr>
              <w:t>детекции</w:t>
            </w:r>
            <w:proofErr w:type="spellEnd"/>
            <w:r w:rsidRPr="009852DF">
              <w:rPr>
                <w:sz w:val="16"/>
                <w:szCs w:val="16"/>
              </w:rPr>
              <w:t xml:space="preserve"> на основе полимера,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  <w:r w:rsidRPr="009852DF">
              <w:rPr>
                <w:sz w:val="16"/>
                <w:szCs w:val="16"/>
              </w:rPr>
              <w:t xml:space="preserve">, в состав набора должны входить </w:t>
            </w:r>
            <w:proofErr w:type="spellStart"/>
            <w:r w:rsidRPr="009852DF">
              <w:rPr>
                <w:sz w:val="16"/>
                <w:szCs w:val="16"/>
              </w:rPr>
              <w:t>пероксидазный</w:t>
            </w:r>
            <w:proofErr w:type="spellEnd"/>
            <w:r w:rsidRPr="009852DF">
              <w:rPr>
                <w:sz w:val="16"/>
                <w:szCs w:val="16"/>
              </w:rPr>
              <w:t xml:space="preserve"> блок, объем не менее 30 мл; вторичные кроличьи </w:t>
            </w:r>
            <w:proofErr w:type="spellStart"/>
            <w:r w:rsidRPr="009852DF">
              <w:rPr>
                <w:sz w:val="16"/>
                <w:szCs w:val="16"/>
              </w:rPr>
              <w:t>антимышинные</w:t>
            </w:r>
            <w:proofErr w:type="spellEnd"/>
            <w:r w:rsidRPr="009852DF">
              <w:rPr>
                <w:sz w:val="16"/>
                <w:szCs w:val="16"/>
              </w:rPr>
              <w:t xml:space="preserve"> антитела, объем не менее 30 мл; </w:t>
            </w:r>
            <w:proofErr w:type="spellStart"/>
            <w:r w:rsidRPr="009852DF">
              <w:rPr>
                <w:sz w:val="16"/>
                <w:szCs w:val="16"/>
              </w:rPr>
              <w:t>антикроличьи</w:t>
            </w:r>
            <w:proofErr w:type="spellEnd"/>
            <w:r w:rsidRPr="009852DF">
              <w:rPr>
                <w:sz w:val="16"/>
                <w:szCs w:val="16"/>
              </w:rPr>
              <w:t xml:space="preserve"> антитела меченные полимером, объем не менее 30 мл; ДАБ часть 1, объем не менее 2,4 мл;  ДАБ часть B, объем не менее 30 </w:t>
            </w:r>
            <w:proofErr w:type="spellStart"/>
            <w:r w:rsidRPr="009852DF">
              <w:rPr>
                <w:sz w:val="16"/>
                <w:szCs w:val="16"/>
              </w:rPr>
              <w:t>мл</w:t>
            </w:r>
            <w:proofErr w:type="gramStart"/>
            <w:r w:rsidRPr="009852DF">
              <w:rPr>
                <w:sz w:val="16"/>
                <w:szCs w:val="16"/>
              </w:rPr>
              <w:t>,н</w:t>
            </w:r>
            <w:proofErr w:type="gramEnd"/>
            <w:r w:rsidRPr="009852DF">
              <w:rPr>
                <w:sz w:val="16"/>
                <w:szCs w:val="16"/>
              </w:rPr>
              <w:t>е</w:t>
            </w:r>
            <w:proofErr w:type="spellEnd"/>
            <w:r w:rsidRPr="009852DF">
              <w:rPr>
                <w:sz w:val="16"/>
                <w:szCs w:val="16"/>
              </w:rPr>
              <w:t xml:space="preserve"> менее 2 </w:t>
            </w:r>
            <w:proofErr w:type="spellStart"/>
            <w:r w:rsidRPr="009852DF">
              <w:rPr>
                <w:sz w:val="16"/>
                <w:szCs w:val="16"/>
              </w:rPr>
              <w:t>шт</w:t>
            </w:r>
            <w:proofErr w:type="spellEnd"/>
            <w:r w:rsidRPr="009852DF">
              <w:rPr>
                <w:sz w:val="16"/>
                <w:szCs w:val="16"/>
              </w:rPr>
              <w:t>; гематоксилин объем не менее 30 мл. Набор рассчитан не менее чем на 200 тестов.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952 672,90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023FC3" w:rsidRDefault="00023FC3" w:rsidP="009852D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3 810 691,60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Отмывочный раствор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Отмывочный раствор на основе </w:t>
            </w:r>
            <w:proofErr w:type="spellStart"/>
            <w:r w:rsidRPr="009852DF">
              <w:rPr>
                <w:sz w:val="16"/>
                <w:szCs w:val="16"/>
              </w:rPr>
              <w:t>Трис</w:t>
            </w:r>
            <w:proofErr w:type="spellEnd"/>
            <w:r w:rsidRPr="009852DF">
              <w:rPr>
                <w:sz w:val="16"/>
                <w:szCs w:val="16"/>
              </w:rPr>
              <w:t xml:space="preserve">-буфера, должен содержать </w:t>
            </w:r>
            <w:proofErr w:type="spellStart"/>
            <w:r w:rsidRPr="009852DF">
              <w:rPr>
                <w:sz w:val="16"/>
                <w:szCs w:val="16"/>
              </w:rPr>
              <w:t>сурфактант</w:t>
            </w:r>
            <w:proofErr w:type="spellEnd"/>
            <w:r w:rsidRPr="009852DF">
              <w:rPr>
                <w:sz w:val="16"/>
                <w:szCs w:val="16"/>
              </w:rPr>
              <w:t xml:space="preserve">, рН 7,7, 10х концентрат, объем не менее 1 л,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287 690,62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023FC3" w:rsidRDefault="00023FC3" w:rsidP="009852D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575 381,24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9852DF">
              <w:rPr>
                <w:sz w:val="16"/>
                <w:szCs w:val="16"/>
              </w:rPr>
              <w:t>депарафинизации</w:t>
            </w:r>
            <w:proofErr w:type="spellEnd"/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9852DF">
              <w:rPr>
                <w:sz w:val="16"/>
                <w:szCs w:val="16"/>
              </w:rPr>
              <w:t>депарафинизации</w:t>
            </w:r>
            <w:proofErr w:type="spellEnd"/>
            <w:r w:rsidRPr="009852DF">
              <w:rPr>
                <w:sz w:val="16"/>
                <w:szCs w:val="16"/>
              </w:rPr>
              <w:t xml:space="preserve">, на основе цитратного буфера, должен содержать растворитель, в готовом разведении, объем не менее 1 л,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85 175,52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023FC3" w:rsidRDefault="00023FC3" w:rsidP="009852D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255 526,55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Раствор для высокотемпературной демаскировки 1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Раствор для высокотемпературной демаскировки 1, на основе цитратного буфера, должен содержать </w:t>
            </w:r>
            <w:proofErr w:type="spellStart"/>
            <w:r w:rsidRPr="009852DF">
              <w:rPr>
                <w:sz w:val="16"/>
                <w:szCs w:val="16"/>
              </w:rPr>
              <w:t>сурфактант</w:t>
            </w:r>
            <w:proofErr w:type="spellEnd"/>
            <w:r w:rsidRPr="009852DF">
              <w:rPr>
                <w:sz w:val="16"/>
                <w:szCs w:val="16"/>
              </w:rPr>
              <w:t xml:space="preserve">, рН 6, в готовом разведении, объем не менее 1 л,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166 447,09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023FC3" w:rsidRDefault="00023FC3" w:rsidP="009852D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499 341,27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Раствор  для высокотемпературной демаскировки 2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Раствор для высокотемпературной демаскировки 2,  на основе EDTA буфера, должен содержать </w:t>
            </w:r>
            <w:proofErr w:type="spellStart"/>
            <w:r w:rsidRPr="009852DF">
              <w:rPr>
                <w:sz w:val="16"/>
                <w:szCs w:val="16"/>
              </w:rPr>
              <w:t>сурфактант</w:t>
            </w:r>
            <w:proofErr w:type="spellEnd"/>
            <w:r w:rsidRPr="009852DF">
              <w:rPr>
                <w:sz w:val="16"/>
                <w:szCs w:val="16"/>
              </w:rPr>
              <w:t xml:space="preserve">, рН 9, в готовом разведении, объем не менее 1 л,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182 410,58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023FC3" w:rsidRDefault="00023FC3" w:rsidP="009852D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547 231,75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Раствор для разведения антител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Раствор для разведения антител на основе </w:t>
            </w:r>
            <w:proofErr w:type="spellStart"/>
            <w:r w:rsidRPr="009852DF">
              <w:rPr>
                <w:sz w:val="16"/>
                <w:szCs w:val="16"/>
              </w:rPr>
              <w:t>трис</w:t>
            </w:r>
            <w:proofErr w:type="spellEnd"/>
            <w:r w:rsidRPr="009852DF">
              <w:rPr>
                <w:sz w:val="16"/>
                <w:szCs w:val="16"/>
              </w:rPr>
              <w:t xml:space="preserve">-буфера в состав входит протеиновый стабилизатор, в готовом разведении, объем не менее 500 мл,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259 667,57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259 667,57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Набор реагентов для предварительной ферментативной обработки антигенов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Набор реагентов для предварительной ферментативной обработки антигенов, в состав набора должны входить: 1) концентрат фермента </w:t>
            </w:r>
            <w:proofErr w:type="spellStart"/>
            <w:r w:rsidRPr="009852DF">
              <w:rPr>
                <w:sz w:val="16"/>
                <w:szCs w:val="16"/>
              </w:rPr>
              <w:t>протеиназы</w:t>
            </w:r>
            <w:proofErr w:type="spellEnd"/>
            <w:proofErr w:type="gramStart"/>
            <w:r w:rsidRPr="009852DF">
              <w:rPr>
                <w:sz w:val="16"/>
                <w:szCs w:val="16"/>
              </w:rPr>
              <w:t xml:space="preserve"> К</w:t>
            </w:r>
            <w:proofErr w:type="gramEnd"/>
            <w:r w:rsidRPr="009852DF">
              <w:rPr>
                <w:sz w:val="16"/>
                <w:szCs w:val="16"/>
              </w:rPr>
              <w:t xml:space="preserve"> 1 мл, 2) раствор для разведения фермента 200 мл, 3) контейнеры открытого типа, объем 7 мл, 3 штуки,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набор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541 952,73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541 952,73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Лента для принтера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Этикетки предназначены для маркировки предметных стекол. Лента с этикетками и чернильная </w:t>
            </w:r>
            <w:proofErr w:type="spellStart"/>
            <w:r w:rsidRPr="009852DF">
              <w:rPr>
                <w:sz w:val="16"/>
                <w:szCs w:val="16"/>
              </w:rPr>
              <w:t>лентадолжна</w:t>
            </w:r>
            <w:proofErr w:type="spellEnd"/>
            <w:r w:rsidRPr="009852DF">
              <w:rPr>
                <w:sz w:val="16"/>
                <w:szCs w:val="16"/>
              </w:rPr>
              <w:t xml:space="preserve"> быть совместима с </w:t>
            </w:r>
            <w:proofErr w:type="gramStart"/>
            <w:r w:rsidRPr="009852DF">
              <w:rPr>
                <w:sz w:val="16"/>
                <w:szCs w:val="16"/>
              </w:rPr>
              <w:t>принтером</w:t>
            </w:r>
            <w:proofErr w:type="gramEnd"/>
            <w:r w:rsidRPr="009852DF">
              <w:rPr>
                <w:sz w:val="16"/>
                <w:szCs w:val="16"/>
              </w:rPr>
              <w:t xml:space="preserve"> имеющимся в наличии у Заказчика, с помощью которого на наклейки наносится нужна информация. Этикетки для стекол и лента для принтера (не менее 3000 штук на ленте),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577 878,50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577 878,50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gramStart"/>
            <w:r w:rsidRPr="009852DF">
              <w:rPr>
                <w:sz w:val="16"/>
                <w:szCs w:val="16"/>
              </w:rPr>
              <w:t>Устройства</w:t>
            </w:r>
            <w:proofErr w:type="gramEnd"/>
            <w:r w:rsidRPr="009852DF">
              <w:rPr>
                <w:sz w:val="16"/>
                <w:szCs w:val="16"/>
              </w:rPr>
              <w:t xml:space="preserve"> покрывающие стекла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proofErr w:type="gramStart"/>
            <w:r w:rsidRPr="009852DF">
              <w:rPr>
                <w:sz w:val="16"/>
                <w:szCs w:val="16"/>
              </w:rPr>
              <w:t>Устройства</w:t>
            </w:r>
            <w:proofErr w:type="gramEnd"/>
            <w:r w:rsidRPr="009852DF">
              <w:rPr>
                <w:sz w:val="16"/>
                <w:szCs w:val="16"/>
              </w:rPr>
              <w:t xml:space="preserve"> покрывающие стекла. Универсальные </w:t>
            </w:r>
            <w:proofErr w:type="spellStart"/>
            <w:r w:rsidRPr="009852DF">
              <w:rPr>
                <w:sz w:val="16"/>
                <w:szCs w:val="16"/>
              </w:rPr>
              <w:t>ковертили</w:t>
            </w:r>
            <w:proofErr w:type="spellEnd"/>
            <w:r w:rsidRPr="009852DF">
              <w:rPr>
                <w:sz w:val="16"/>
                <w:szCs w:val="16"/>
              </w:rPr>
              <w:t xml:space="preserve">,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  <w:r w:rsidRPr="009852DF">
              <w:rPr>
                <w:sz w:val="16"/>
                <w:szCs w:val="16"/>
              </w:rPr>
              <w:t xml:space="preserve">, пластиковые накладки на предметные стекла, используются для покрытия стекол с образцом ткани для обеспечения оптимальных условий распределения реагентов при проведении </w:t>
            </w:r>
            <w:proofErr w:type="spellStart"/>
            <w:r w:rsidRPr="009852DF">
              <w:rPr>
                <w:sz w:val="16"/>
                <w:szCs w:val="16"/>
              </w:rPr>
              <w:lastRenderedPageBreak/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окрашивания, 100 шт./</w:t>
            </w:r>
            <w:proofErr w:type="spellStart"/>
            <w:r w:rsidRPr="009852DF">
              <w:rPr>
                <w:sz w:val="16"/>
                <w:szCs w:val="16"/>
              </w:rPr>
              <w:t>упак</w:t>
            </w:r>
            <w:proofErr w:type="spellEnd"/>
            <w:r w:rsidRPr="009852DF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221 102,30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221 102,30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32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Станции для перемешивания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Станция для перемешивания реагентов, изготовлены из пластика и состоят из 6 флаконов соединенных между собой, используются для перемешивания DAB хромогена и DAB буфера при проведении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окрашивания, не менее 5 шт./</w:t>
            </w:r>
            <w:proofErr w:type="spellStart"/>
            <w:r w:rsidRPr="009852DF">
              <w:rPr>
                <w:sz w:val="16"/>
                <w:szCs w:val="16"/>
              </w:rPr>
              <w:t>упак</w:t>
            </w:r>
            <w:proofErr w:type="spellEnd"/>
            <w:r w:rsidRPr="009852DF">
              <w:rPr>
                <w:sz w:val="16"/>
                <w:szCs w:val="16"/>
              </w:rPr>
              <w:t xml:space="preserve">.,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133 160,83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133 160,83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Контейнер открытый 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Контейнер открытого типа, объем не менее 7 мл,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  для проведения </w:t>
            </w:r>
            <w:proofErr w:type="spellStart"/>
            <w:r w:rsidRPr="009852DF">
              <w:rPr>
                <w:sz w:val="16"/>
                <w:szCs w:val="16"/>
              </w:rPr>
              <w:t>внутриаппаратного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иммуногистохимического</w:t>
            </w:r>
            <w:proofErr w:type="spellEnd"/>
            <w:r w:rsidRPr="009852DF">
              <w:rPr>
                <w:sz w:val="16"/>
                <w:szCs w:val="16"/>
              </w:rPr>
              <w:t xml:space="preserve"> окрашивания</w:t>
            </w:r>
            <w:proofErr w:type="gramStart"/>
            <w:r w:rsidRPr="009852DF">
              <w:rPr>
                <w:sz w:val="16"/>
                <w:szCs w:val="16"/>
              </w:rPr>
              <w:t xml:space="preserve"> ,</w:t>
            </w:r>
            <w:proofErr w:type="gramEnd"/>
            <w:r w:rsidRPr="009852DF">
              <w:rPr>
                <w:sz w:val="16"/>
                <w:szCs w:val="16"/>
              </w:rPr>
              <w:t xml:space="preserve"> для использования в </w:t>
            </w:r>
            <w:proofErr w:type="spellStart"/>
            <w:r w:rsidRPr="009852DF">
              <w:rPr>
                <w:sz w:val="16"/>
                <w:szCs w:val="16"/>
              </w:rPr>
              <w:t>иммуностейнере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250 373,98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250 373,98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Набор для титрования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Набор для титрования (вставки для титровальных контейнеров, 7 мл, 50 </w:t>
            </w:r>
            <w:proofErr w:type="spellStart"/>
            <w:proofErr w:type="gramStart"/>
            <w:r w:rsidRPr="009852DF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9852DF">
              <w:rPr>
                <w:sz w:val="16"/>
                <w:szCs w:val="16"/>
              </w:rPr>
              <w:t>/</w:t>
            </w:r>
            <w:proofErr w:type="spellStart"/>
            <w:r w:rsidRPr="009852DF">
              <w:rPr>
                <w:sz w:val="16"/>
                <w:szCs w:val="16"/>
              </w:rPr>
              <w:t>уп</w:t>
            </w:r>
            <w:proofErr w:type="spellEnd"/>
            <w:r w:rsidRPr="009852DF">
              <w:rPr>
                <w:sz w:val="16"/>
                <w:szCs w:val="16"/>
              </w:rPr>
              <w:t>; контейнеры для титрования 10 шт./</w:t>
            </w:r>
            <w:proofErr w:type="spellStart"/>
            <w:r w:rsidRPr="009852DF">
              <w:rPr>
                <w:sz w:val="16"/>
                <w:szCs w:val="16"/>
              </w:rPr>
              <w:t>уп</w:t>
            </w:r>
            <w:proofErr w:type="spellEnd"/>
            <w:r w:rsidRPr="009852DF">
              <w:rPr>
                <w:sz w:val="16"/>
                <w:szCs w:val="16"/>
              </w:rPr>
              <w:t xml:space="preserve">. 6 мл) совместимый с </w:t>
            </w:r>
            <w:proofErr w:type="spellStart"/>
            <w:r w:rsidRPr="009852DF">
              <w:rPr>
                <w:sz w:val="16"/>
                <w:szCs w:val="16"/>
              </w:rPr>
              <w:t>иммуногистостейнером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609 916,12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609 916,12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Предметные стекла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Предметные стекла c </w:t>
            </w:r>
            <w:proofErr w:type="spellStart"/>
            <w:r w:rsidRPr="009852DF">
              <w:rPr>
                <w:sz w:val="16"/>
                <w:szCs w:val="16"/>
              </w:rPr>
              <w:t>силанизированным</w:t>
            </w:r>
            <w:proofErr w:type="spellEnd"/>
            <w:r w:rsidRPr="009852DF">
              <w:rPr>
                <w:sz w:val="16"/>
                <w:szCs w:val="16"/>
              </w:rPr>
              <w:t xml:space="preserve"> покрытием, готовые к работе. Нанесенная разметка для ориентации среза на стекле позволяет выбирать объема наносимого реагента предустановленный протокол нанесения 100 </w:t>
            </w:r>
            <w:proofErr w:type="spellStart"/>
            <w:r w:rsidRPr="009852DF">
              <w:rPr>
                <w:sz w:val="16"/>
                <w:szCs w:val="16"/>
              </w:rPr>
              <w:t>мкл</w:t>
            </w:r>
            <w:proofErr w:type="spellEnd"/>
            <w:r w:rsidRPr="009852DF">
              <w:rPr>
                <w:sz w:val="16"/>
                <w:szCs w:val="16"/>
              </w:rPr>
              <w:t xml:space="preserve"> и 150 </w:t>
            </w:r>
            <w:proofErr w:type="spellStart"/>
            <w:r w:rsidRPr="009852DF">
              <w:rPr>
                <w:sz w:val="16"/>
                <w:szCs w:val="16"/>
              </w:rPr>
              <w:t>мкл</w:t>
            </w:r>
            <w:proofErr w:type="spellEnd"/>
            <w:r w:rsidRPr="009852DF">
              <w:rPr>
                <w:sz w:val="16"/>
                <w:szCs w:val="16"/>
              </w:rPr>
              <w:t xml:space="preserve"> на стекло.  В упаковке не менее 1440 шт.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529 956,40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529 956,40</w:t>
            </w:r>
          </w:p>
        </w:tc>
      </w:tr>
      <w:tr w:rsidR="00023FC3" w:rsidRPr="009852DF" w:rsidTr="009852DF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852DF">
              <w:rPr>
                <w:rFonts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Набор для очистки </w:t>
            </w:r>
            <w:proofErr w:type="spellStart"/>
            <w:r w:rsidRPr="009852DF">
              <w:rPr>
                <w:sz w:val="16"/>
                <w:szCs w:val="16"/>
              </w:rPr>
              <w:t>пробозаборника</w:t>
            </w:r>
            <w:proofErr w:type="spellEnd"/>
            <w:r w:rsidRPr="009852DF">
              <w:rPr>
                <w:sz w:val="16"/>
                <w:szCs w:val="16"/>
              </w:rPr>
              <w:t xml:space="preserve"> от DAB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23FC3" w:rsidRPr="009852DF" w:rsidRDefault="00023FC3" w:rsidP="009852DF">
            <w:pPr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 xml:space="preserve">Набор для очистки </w:t>
            </w:r>
            <w:proofErr w:type="spellStart"/>
            <w:r w:rsidRPr="009852DF">
              <w:rPr>
                <w:sz w:val="16"/>
                <w:szCs w:val="16"/>
              </w:rPr>
              <w:t>пробозаборника</w:t>
            </w:r>
            <w:proofErr w:type="spellEnd"/>
            <w:r w:rsidRPr="009852DF">
              <w:rPr>
                <w:sz w:val="16"/>
                <w:szCs w:val="16"/>
              </w:rPr>
              <w:t xml:space="preserve"> для </w:t>
            </w:r>
            <w:proofErr w:type="spellStart"/>
            <w:r w:rsidRPr="009852DF">
              <w:rPr>
                <w:sz w:val="16"/>
                <w:szCs w:val="16"/>
              </w:rPr>
              <w:t>иммуностейнера</w:t>
            </w:r>
            <w:proofErr w:type="spellEnd"/>
            <w:r w:rsidRPr="009852DF">
              <w:rPr>
                <w:sz w:val="16"/>
                <w:szCs w:val="16"/>
              </w:rPr>
              <w:t xml:space="preserve"> </w:t>
            </w:r>
            <w:proofErr w:type="spellStart"/>
            <w:r w:rsidRPr="009852DF">
              <w:rPr>
                <w:sz w:val="16"/>
                <w:szCs w:val="16"/>
              </w:rPr>
              <w:t>Bond-maX</w:t>
            </w:r>
            <w:proofErr w:type="spellEnd"/>
            <w:r w:rsidRPr="009852DF">
              <w:rPr>
                <w:sz w:val="16"/>
                <w:szCs w:val="16"/>
              </w:rPr>
              <w:t xml:space="preserve">. Штатив должен содержать не менее 3 контейнеров: 1) Чистящий компонент A, объем не менее 3,75 мл; 2) Чистящий компонент B, &lt;5 % серной кислоты, объем не менее 3,75 мл; 3) Чистящий компонент C, объем не менее 3,75 мл. Штатив с реагентами должен загружаться в прибор и осуществлять очистку элементов прибора по предустановленному протоколу.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набор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149 108,52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023FC3" w:rsidRPr="009852DF" w:rsidRDefault="00023FC3" w:rsidP="00B33C5B">
            <w:pPr>
              <w:jc w:val="center"/>
              <w:rPr>
                <w:sz w:val="16"/>
                <w:szCs w:val="16"/>
              </w:rPr>
            </w:pPr>
            <w:r w:rsidRPr="009852DF">
              <w:rPr>
                <w:sz w:val="16"/>
                <w:szCs w:val="16"/>
              </w:rPr>
              <w:t>149 108,52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9852DF" w:rsidTr="00CB0271">
        <w:tc>
          <w:tcPr>
            <w:tcW w:w="4927" w:type="dxa"/>
          </w:tcPr>
          <w:p w:rsidR="0091217A" w:rsidRPr="009852DF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9852DF" w:rsidRDefault="007A01F1" w:rsidP="0069314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r w:rsidR="009852DF" w:rsidRPr="009852DF">
              <w:rPr>
                <w:rFonts w:cs="Times New Roman"/>
                <w:sz w:val="18"/>
                <w:szCs w:val="18"/>
              </w:rPr>
              <w:t xml:space="preserve">13 144 562,57 (он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үш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9852DF" w:rsidRPr="009852DF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9852DF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қырық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алпыс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жеті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9852DF" w:rsidRPr="009852DF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9852DF" w:rsidRDefault="007A01F1" w:rsidP="0069314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2DF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9852DF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9852DF" w:rsidRDefault="007A01F1" w:rsidP="0069314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>:</w:t>
            </w:r>
            <w:r w:rsidRPr="009852DF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9852DF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9852DF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9852DF" w:rsidRDefault="00AF229F" w:rsidP="0069314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2DF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9852DF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9852DF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9852DF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r w:rsidR="00693141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="007A01F1" w:rsidRPr="009852DF">
              <w:rPr>
                <w:rFonts w:cs="Times New Roman"/>
                <w:sz w:val="18"/>
                <w:szCs w:val="18"/>
              </w:rPr>
              <w:t>.</w:t>
            </w:r>
            <w:r w:rsidR="009852DF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9852DF">
              <w:rPr>
                <w:rFonts w:cs="Times New Roman"/>
                <w:sz w:val="18"/>
                <w:szCs w:val="18"/>
              </w:rPr>
              <w:t>.202</w:t>
            </w:r>
            <w:r w:rsidR="00A33AE9" w:rsidRPr="009852DF">
              <w:rPr>
                <w:rFonts w:cs="Times New Roman"/>
                <w:sz w:val="18"/>
                <w:szCs w:val="18"/>
              </w:rPr>
              <w:t xml:space="preserve">3 ж. </w:t>
            </w:r>
            <w:proofErr w:type="spellStart"/>
            <w:r w:rsidR="00A33AE9" w:rsidRPr="009852DF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9852DF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9852DF">
              <w:rPr>
                <w:rFonts w:cs="Times New Roman"/>
                <w:sz w:val="18"/>
                <w:szCs w:val="18"/>
              </w:rPr>
              <w:t>09</w:t>
            </w:r>
            <w:r w:rsidR="00A33AE9" w:rsidRPr="009852DF">
              <w:rPr>
                <w:rFonts w:cs="Times New Roman"/>
                <w:sz w:val="18"/>
                <w:szCs w:val="18"/>
              </w:rPr>
              <w:t>:</w:t>
            </w:r>
            <w:r w:rsidR="007A01F1" w:rsidRPr="009852DF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9852DF" w:rsidRDefault="00AF229F" w:rsidP="0069314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9852DF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9852DF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9852DF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r w:rsidR="00693141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="007A01F1" w:rsidRPr="009852DF">
              <w:rPr>
                <w:rFonts w:cs="Times New Roman"/>
                <w:sz w:val="18"/>
                <w:szCs w:val="18"/>
              </w:rPr>
              <w:t>.</w:t>
            </w:r>
            <w:r w:rsidR="009852DF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9852DF">
              <w:rPr>
                <w:rFonts w:cs="Times New Roman"/>
                <w:sz w:val="18"/>
                <w:szCs w:val="18"/>
              </w:rPr>
              <w:t>.202</w:t>
            </w:r>
            <w:r w:rsidR="00A33AE9" w:rsidRPr="009852DF">
              <w:rPr>
                <w:rFonts w:cs="Times New Roman"/>
                <w:sz w:val="18"/>
                <w:szCs w:val="18"/>
              </w:rPr>
              <w:t>3</w:t>
            </w:r>
            <w:r w:rsidR="007A01F1" w:rsidRPr="009852DF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9852DF">
              <w:rPr>
                <w:rFonts w:cs="Times New Roman"/>
                <w:sz w:val="18"/>
                <w:szCs w:val="18"/>
              </w:rPr>
              <w:t>10</w:t>
            </w:r>
            <w:r w:rsidR="007A01F1" w:rsidRPr="009852DF">
              <w:rPr>
                <w:rFonts w:cs="Times New Roman"/>
                <w:sz w:val="18"/>
                <w:szCs w:val="18"/>
              </w:rPr>
              <w:t>:</w:t>
            </w:r>
            <w:r w:rsidR="00B42267" w:rsidRPr="009852DF">
              <w:rPr>
                <w:rFonts w:cs="Times New Roman"/>
                <w:sz w:val="18"/>
                <w:szCs w:val="18"/>
              </w:rPr>
              <w:t>00</w:t>
            </w:r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9852DF" w:rsidRDefault="007A01F1" w:rsidP="00693141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9852DF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2DF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Default="00C92224" w:rsidP="00F65F5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852DF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9852D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9852D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5F6B81" w:rsidRPr="005F6B81" w:rsidRDefault="005F6B81" w:rsidP="00F65F5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5F6B81">
              <w:rPr>
                <w:rFonts w:cs="Times New Roman"/>
                <w:b/>
                <w:sz w:val="18"/>
                <w:szCs w:val="18"/>
                <w:lang w:val="kk-KZ"/>
              </w:rPr>
              <w:t xml:space="preserve">         </w:t>
            </w:r>
            <w:r w:rsidRPr="005F6B81">
              <w:rPr>
                <w:rFonts w:cs="Times New Roman"/>
                <w:b/>
                <w:color w:val="000000" w:themeColor="text1"/>
                <w:sz w:val="18"/>
                <w:szCs w:val="18"/>
                <w:lang w:val="kk-KZ"/>
              </w:rPr>
              <w:t>Мәміле жасау кезінде, оның ішінде тендерлік құжаттамада қолды факсимильді көшіру құралдарын пайдалануға жол берілмейді.</w:t>
            </w:r>
            <w:bookmarkStart w:id="0" w:name="_GoBack"/>
            <w:bookmarkEnd w:id="0"/>
          </w:p>
          <w:p w:rsidR="00AF229F" w:rsidRPr="009852DF" w:rsidRDefault="00EC52F2" w:rsidP="00F65F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6B81">
              <w:rPr>
                <w:rFonts w:cs="Times New Roman"/>
                <w:color w:val="000000" w:themeColor="text1"/>
                <w:sz w:val="18"/>
                <w:szCs w:val="18"/>
                <w:lang w:val="kk-KZ"/>
              </w:rPr>
              <w:t xml:space="preserve">        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ұсынудың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соңғы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мерзімі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аяқталғанға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дейін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мөрленген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түрде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ғана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Конвертте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Қағидаларға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белгілеген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мерзімдерде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лицензиялау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рәсімі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рұқсат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органдары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әрекеттерді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операцияларды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тұлғаның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құқықтарын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ұсынылатын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дәрілік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заттардың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осы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сондай-</w:t>
            </w:r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ақ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қызметтердің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сипаттамасы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көлеміне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бұйымдар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жатады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9852DF" w:rsidRDefault="00E469EA" w:rsidP="00F2140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ұсынуы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5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жеткізуді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сұрау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салу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талаптарын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үлгілік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шартын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арналған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шартты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сақтай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отырып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келісі</w:t>
            </w:r>
            <w:proofErr w:type="gram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ін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білдіру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нысаны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табылады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Ең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төмен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ба</w:t>
            </w:r>
            <w:proofErr w:type="gram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ға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="00AF229F" w:rsidRPr="009852D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9852DF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9852DF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бірдей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жағдайларда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інші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7A01F1" w:rsidRPr="009852DF" w:rsidRDefault="00AF229F" w:rsidP="00AF229F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алуға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құжаттары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80-тармағына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қатысқан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осындай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жеңімпазы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тану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шешім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қабылдайды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="00F21401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берушіге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ұйымдастырушыға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танылған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күнтізбелік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10 (он)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Қағидаларда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сәйкестігін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мынадай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құжаттарды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Pr="009852DF">
              <w:rPr>
                <w:rFonts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CB0271" w:rsidRPr="009852DF" w:rsidRDefault="00E469EA" w:rsidP="00CB027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CB0271"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1)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"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рұқсаттар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туралы"Заңға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жіберілген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құжат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індегі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көшірмелері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олар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расталады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заңға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нотариат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куәландырған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көшірмесін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ұқсаттар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";</w:t>
            </w:r>
          </w:p>
          <w:p w:rsidR="00E469EA" w:rsidRPr="009852DF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құрмай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құқық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беретін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құжаттың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9852DF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3)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тұлғаны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қайта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</w:t>
            </w:r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уралы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анықтама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куәліктің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паспорттың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9852DF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жарғысының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жарғыда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акционерлердің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көрсетілмесе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онда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акцияларды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ұстаушылар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тізілімінен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жарияланған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кейін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құрылтай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шартының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ұсынылады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9852DF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5) "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үкімет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" веб-порталы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төлеуші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кабинеті"веб-қосымшасы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іріс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органдарында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есепке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жүргізілетін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берешектің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жоқ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(бар)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екендігі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E469EA" w:rsidRPr="009852DF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6) осы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табылмайтындығы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органының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анықтамасының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пн</w:t>
            </w:r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ұсқасы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табылмаса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төлеушісі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ретінде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тіркелмесе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E469EA" w:rsidRPr="009852DF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шарттарына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келмеген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</w:p>
          <w:p w:rsidR="007A01F1" w:rsidRPr="009852DF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алған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бес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жұмыс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күні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шартына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қояды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ұйымдастырушыны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шарттарымен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келіспегені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қоюдан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тартқаны</w:t>
            </w:r>
            <w:proofErr w:type="spellEnd"/>
            <w:proofErr w:type="gram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жазбаша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хабардар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етеді</w:t>
            </w:r>
            <w:proofErr w:type="spellEnd"/>
            <w:r w:rsidRPr="009852D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E469EA" w:rsidRPr="009852DF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9852DF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9852DF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9852DF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9852DF" w:rsidRDefault="007A01F1" w:rsidP="00693141">
            <w:pPr>
              <w:jc w:val="both"/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r w:rsidR="009852DF" w:rsidRPr="009852DF">
              <w:rPr>
                <w:rFonts w:cs="Times New Roman"/>
                <w:sz w:val="18"/>
                <w:szCs w:val="18"/>
              </w:rPr>
              <w:t>13 144 562,57</w:t>
            </w:r>
            <w:r w:rsidR="0078134E" w:rsidRPr="009852DF">
              <w:rPr>
                <w:rFonts w:cs="Times New Roman"/>
                <w:sz w:val="18"/>
                <w:szCs w:val="18"/>
              </w:rPr>
              <w:t xml:space="preserve"> </w:t>
            </w:r>
            <w:r w:rsidRPr="009852DF">
              <w:rPr>
                <w:rFonts w:cs="Times New Roman"/>
                <w:sz w:val="18"/>
                <w:szCs w:val="18"/>
              </w:rPr>
              <w:t>(</w:t>
            </w:r>
            <w:r w:rsidR="009852DF" w:rsidRPr="009852DF">
              <w:rPr>
                <w:rFonts w:cs="Times New Roman"/>
                <w:sz w:val="18"/>
                <w:szCs w:val="18"/>
              </w:rPr>
              <w:t>тринадцать миллионов сто сорок четыре тысячи пятьсот шестьдесят две</w:t>
            </w:r>
            <w:r w:rsidRPr="009852DF">
              <w:rPr>
                <w:rFonts w:cs="Times New Roman"/>
                <w:sz w:val="18"/>
                <w:szCs w:val="18"/>
              </w:rPr>
              <w:t>) тенге</w:t>
            </w:r>
            <w:r w:rsidR="009852DF" w:rsidRPr="009852DF">
              <w:rPr>
                <w:rFonts w:cs="Times New Roman"/>
                <w:sz w:val="18"/>
                <w:szCs w:val="18"/>
              </w:rPr>
              <w:t xml:space="preserve"> пятьдесят семь </w:t>
            </w:r>
            <w:proofErr w:type="spellStart"/>
            <w:r w:rsidR="009852DF" w:rsidRPr="009852DF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9852DF" w:rsidRDefault="003C20FD" w:rsidP="00693141">
            <w:pPr>
              <w:jc w:val="both"/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9852DF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9852DF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9852DF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9852DF" w:rsidRDefault="007A01F1" w:rsidP="00693141">
            <w:pPr>
              <w:jc w:val="both"/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9852DF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9852DF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9852DF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9852DF" w:rsidRDefault="0017111C" w:rsidP="00693141">
            <w:pPr>
              <w:jc w:val="both"/>
              <w:rPr>
                <w:b/>
                <w:sz w:val="18"/>
                <w:szCs w:val="18"/>
              </w:rPr>
            </w:pPr>
            <w:r w:rsidRPr="009852DF">
              <w:rPr>
                <w:b/>
                <w:color w:val="000000"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9852DF">
              <w:rPr>
                <w:b/>
                <w:sz w:val="18"/>
                <w:szCs w:val="18"/>
              </w:rPr>
              <w:t xml:space="preserve"> </w:t>
            </w:r>
            <w:r w:rsidRPr="009852DF">
              <w:rPr>
                <w:b/>
                <w:color w:val="000000"/>
                <w:sz w:val="18"/>
                <w:szCs w:val="18"/>
              </w:rPr>
              <w:t>предложений</w:t>
            </w:r>
            <w:r w:rsidR="007A01F1" w:rsidRPr="009852DF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9852DF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9852DF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9852DF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9852DF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9852DF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693141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="007A01F1" w:rsidRPr="009852DF">
              <w:rPr>
                <w:rFonts w:cs="Times New Roman"/>
                <w:sz w:val="18"/>
                <w:szCs w:val="18"/>
              </w:rPr>
              <w:t>.</w:t>
            </w:r>
            <w:r w:rsidR="009852DF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9852DF">
              <w:rPr>
                <w:rFonts w:cs="Times New Roman"/>
                <w:sz w:val="18"/>
                <w:szCs w:val="18"/>
              </w:rPr>
              <w:t>.202</w:t>
            </w:r>
            <w:r w:rsidR="00A33AE9" w:rsidRPr="009852DF">
              <w:rPr>
                <w:rFonts w:cs="Times New Roman"/>
                <w:sz w:val="18"/>
                <w:szCs w:val="18"/>
              </w:rPr>
              <w:t>3</w:t>
            </w:r>
            <w:r w:rsidR="007A01F1" w:rsidRPr="009852DF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9852DF">
              <w:rPr>
                <w:rFonts w:cs="Times New Roman"/>
                <w:sz w:val="18"/>
                <w:szCs w:val="18"/>
              </w:rPr>
              <w:t>09</w:t>
            </w:r>
            <w:r w:rsidR="007A01F1" w:rsidRPr="009852DF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9852DF" w:rsidRDefault="007A01F1" w:rsidP="00693141">
            <w:pPr>
              <w:jc w:val="both"/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9852DF">
              <w:rPr>
                <w:b/>
                <w:color w:val="000000"/>
                <w:sz w:val="18"/>
                <w:szCs w:val="18"/>
              </w:rPr>
              <w:t>рассмотрения</w:t>
            </w:r>
            <w:r w:rsidR="0017111C" w:rsidRPr="009852DF">
              <w:rPr>
                <w:color w:val="000000"/>
                <w:sz w:val="18"/>
                <w:szCs w:val="18"/>
              </w:rPr>
              <w:t xml:space="preserve"> </w:t>
            </w:r>
            <w:r w:rsidRPr="009852DF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9852DF">
              <w:rPr>
                <w:rFonts w:cs="Times New Roman"/>
                <w:sz w:val="18"/>
                <w:szCs w:val="18"/>
              </w:rPr>
              <w:t xml:space="preserve">: дата </w:t>
            </w:r>
            <w:r w:rsidR="00693141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Pr="009852DF">
              <w:rPr>
                <w:rFonts w:cs="Times New Roman"/>
                <w:sz w:val="18"/>
                <w:szCs w:val="18"/>
              </w:rPr>
              <w:t>.</w:t>
            </w:r>
            <w:r w:rsidR="009852DF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9852DF">
              <w:rPr>
                <w:rFonts w:cs="Times New Roman"/>
                <w:sz w:val="18"/>
                <w:szCs w:val="18"/>
              </w:rPr>
              <w:t>.202</w:t>
            </w:r>
            <w:r w:rsidR="00A33AE9" w:rsidRPr="009852DF">
              <w:rPr>
                <w:rFonts w:cs="Times New Roman"/>
                <w:sz w:val="18"/>
                <w:szCs w:val="18"/>
              </w:rPr>
              <w:t>3</w:t>
            </w:r>
            <w:r w:rsidRPr="009852DF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9852DF">
              <w:rPr>
                <w:rFonts w:cs="Times New Roman"/>
                <w:sz w:val="18"/>
                <w:szCs w:val="18"/>
              </w:rPr>
              <w:t>10</w:t>
            </w:r>
            <w:r w:rsidRPr="009852DF">
              <w:rPr>
                <w:rFonts w:cs="Times New Roman"/>
                <w:sz w:val="18"/>
                <w:szCs w:val="18"/>
              </w:rPr>
              <w:t>:</w:t>
            </w:r>
            <w:r w:rsidR="00B42267" w:rsidRPr="009852DF">
              <w:rPr>
                <w:rFonts w:cs="Times New Roman"/>
                <w:sz w:val="18"/>
                <w:szCs w:val="18"/>
              </w:rPr>
              <w:t>00</w:t>
            </w:r>
            <w:r w:rsidRPr="009852DF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9852DF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9852DF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9852DF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9852DF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5F6B81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9852DF">
              <w:rPr>
                <w:rFonts w:cs="Times New Roman"/>
                <w:b/>
                <w:sz w:val="18"/>
                <w:szCs w:val="18"/>
              </w:rPr>
      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</w:t>
            </w:r>
            <w:r w:rsidRPr="005F6B81">
              <w:rPr>
                <w:rFonts w:cs="Times New Roman"/>
                <w:b/>
                <w:sz w:val="18"/>
                <w:szCs w:val="18"/>
              </w:rPr>
              <w:t>Организатора (Заказчика).</w:t>
            </w:r>
          </w:p>
          <w:p w:rsidR="00DF11B3" w:rsidRPr="005F6B81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5F6B81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F6B81" w:rsidRPr="005F6B81" w:rsidRDefault="005F6B8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5F6B81">
              <w:rPr>
                <w:rFonts w:cs="Times New Roman"/>
                <w:b/>
                <w:sz w:val="18"/>
                <w:szCs w:val="18"/>
                <w:lang w:val="kk-KZ"/>
              </w:rPr>
              <w:t xml:space="preserve">Не </w:t>
            </w:r>
            <w:r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д</w:t>
            </w:r>
            <w:r w:rsidRPr="005F6B81"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</w:rPr>
              <w:t>опускается при совершении сделки</w:t>
            </w:r>
            <w:r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, в том числе в тендерной документации</w:t>
            </w:r>
            <w:r w:rsidRPr="005F6B81"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использование средств факсимильного копирования подписи</w:t>
            </w:r>
            <w:r w:rsidRPr="005F6B81"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. </w:t>
            </w:r>
          </w:p>
          <w:p w:rsidR="00F257DD" w:rsidRPr="009852DF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9852DF">
              <w:rPr>
                <w:color w:val="000000"/>
                <w:sz w:val="18"/>
                <w:szCs w:val="18"/>
              </w:rPr>
              <w:t xml:space="preserve">             </w:t>
            </w:r>
            <w:r w:rsidR="0017111C" w:rsidRPr="009852DF">
              <w:rPr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9852DF">
              <w:rPr>
                <w:color w:val="000000"/>
                <w:sz w:val="18"/>
                <w:szCs w:val="18"/>
              </w:rPr>
              <w:t xml:space="preserve"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</w:t>
            </w:r>
            <w:r w:rsidR="0017111C" w:rsidRPr="009852DF">
              <w:rPr>
                <w:color w:val="000000"/>
                <w:sz w:val="18"/>
                <w:szCs w:val="18"/>
              </w:rPr>
              <w:lastRenderedPageBreak/>
              <w:t>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9852DF">
              <w:rPr>
                <w:color w:val="000000"/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9852D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9852DF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9852DF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9852DF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9852DF">
              <w:rPr>
                <w:rFonts w:cs="Times New Roman"/>
                <w:sz w:val="18"/>
                <w:szCs w:val="18"/>
              </w:rPr>
              <w:t xml:space="preserve">.    </w:t>
            </w:r>
            <w:r w:rsidRPr="009852DF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9852DF" w:rsidRDefault="000E02BE" w:rsidP="00F65F58">
            <w:pPr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9852DF">
              <w:rPr>
                <w:color w:val="000000"/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9852DF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9852DF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9852DF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9852DF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9852DF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9852DF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9852DF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9852DF">
              <w:rPr>
                <w:b/>
                <w:color w:val="000000"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9852DF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9852DF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9852DF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9852DF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9852DF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9852DF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9852DF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9852DF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9852DF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9852DF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9852DF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9852DF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9852DF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9852DF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9852DF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9852DF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9852DF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9852DF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9852DF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9852DF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9852DF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9852DF">
              <w:rPr>
                <w:rFonts w:cs="Times New Roman"/>
                <w:sz w:val="18"/>
                <w:szCs w:val="18"/>
              </w:rPr>
              <w:t xml:space="preserve"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</w:t>
            </w:r>
            <w:r w:rsidRPr="009852DF">
              <w:rPr>
                <w:rFonts w:cs="Times New Roman"/>
                <w:sz w:val="18"/>
                <w:szCs w:val="18"/>
              </w:rPr>
              <w:lastRenderedPageBreak/>
              <w:t>Казахстан и не зарегистрирован в качестве налогоплательщика Республики Казахстан).</w:t>
            </w:r>
          </w:p>
          <w:p w:rsidR="00AF229F" w:rsidRPr="009852DF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9852DF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9852DF">
              <w:rPr>
                <w:sz w:val="18"/>
                <w:szCs w:val="18"/>
              </w:rPr>
              <w:t xml:space="preserve">несоответствии </w:t>
            </w:r>
            <w:r w:rsidR="00AF229F" w:rsidRPr="009852DF">
              <w:rPr>
                <w:color w:val="000000"/>
                <w:sz w:val="18"/>
                <w:szCs w:val="18"/>
              </w:rPr>
              <w:t>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9852DF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7A01F1" w:rsidRPr="009852DF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9852DF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9852DF">
              <w:rPr>
                <w:rFonts w:cs="Times New Roman"/>
                <w:sz w:val="18"/>
                <w:szCs w:val="18"/>
              </w:rPr>
              <w:t>рабочих</w:t>
            </w:r>
            <w:r w:rsidRPr="009852DF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9852DF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9852DF">
              <w:rPr>
                <w:color w:val="000000"/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9852DF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9852DF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9852DF" w:rsidTr="00F65F58">
        <w:tc>
          <w:tcPr>
            <w:tcW w:w="3085" w:type="dxa"/>
            <w:vAlign w:val="center"/>
          </w:tcPr>
          <w:p w:rsidR="007A01F1" w:rsidRPr="009852DF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9852DF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9852DF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52DF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9852DF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9852DF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9852DF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9852D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9852DF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52DF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9852DF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9852DF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9852DF" w:rsidRDefault="0080080F" w:rsidP="0048597F">
      <w:pPr>
        <w:rPr>
          <w:rFonts w:cs="Times New Roman"/>
          <w:sz w:val="16"/>
          <w:szCs w:val="16"/>
        </w:rPr>
      </w:pPr>
      <w:r w:rsidRPr="009852DF">
        <w:rPr>
          <w:rFonts w:cs="Times New Roman"/>
          <w:i/>
          <w:sz w:val="16"/>
          <w:szCs w:val="16"/>
        </w:rPr>
        <w:t>8-727-278-04-44</w:t>
      </w:r>
    </w:p>
    <w:sectPr w:rsidR="0086053E" w:rsidRPr="009852DF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23FC3"/>
    <w:rsid w:val="00026F71"/>
    <w:rsid w:val="00034096"/>
    <w:rsid w:val="00047263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7F43"/>
    <w:rsid w:val="00166458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50BE6"/>
    <w:rsid w:val="00252AE7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5F6B81"/>
    <w:rsid w:val="00623E3C"/>
    <w:rsid w:val="0063768C"/>
    <w:rsid w:val="00640D35"/>
    <w:rsid w:val="00646B3C"/>
    <w:rsid w:val="00651F5D"/>
    <w:rsid w:val="00653A61"/>
    <w:rsid w:val="00666AAF"/>
    <w:rsid w:val="00672051"/>
    <w:rsid w:val="00681B49"/>
    <w:rsid w:val="00685AF2"/>
    <w:rsid w:val="00690753"/>
    <w:rsid w:val="00693141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D3FAC"/>
    <w:rsid w:val="007D4CE6"/>
    <w:rsid w:val="007D6ED1"/>
    <w:rsid w:val="007D726A"/>
    <w:rsid w:val="007D7F11"/>
    <w:rsid w:val="007F579C"/>
    <w:rsid w:val="0080080F"/>
    <w:rsid w:val="00814BA1"/>
    <w:rsid w:val="00823998"/>
    <w:rsid w:val="008326E4"/>
    <w:rsid w:val="00854526"/>
    <w:rsid w:val="0086053E"/>
    <w:rsid w:val="00872CEB"/>
    <w:rsid w:val="00887A1A"/>
    <w:rsid w:val="00887B82"/>
    <w:rsid w:val="008A3786"/>
    <w:rsid w:val="008A611E"/>
    <w:rsid w:val="008C2B56"/>
    <w:rsid w:val="008D65C8"/>
    <w:rsid w:val="008D6B6F"/>
    <w:rsid w:val="008E5FB5"/>
    <w:rsid w:val="0090711C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5D9B"/>
    <w:rsid w:val="00A91C50"/>
    <w:rsid w:val="00A939E7"/>
    <w:rsid w:val="00A966A6"/>
    <w:rsid w:val="00AA1CC0"/>
    <w:rsid w:val="00AA2089"/>
    <w:rsid w:val="00AA581E"/>
    <w:rsid w:val="00AA62E9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EC52F2"/>
    <w:rsid w:val="00F03D2D"/>
    <w:rsid w:val="00F04A5C"/>
    <w:rsid w:val="00F1687D"/>
    <w:rsid w:val="00F21401"/>
    <w:rsid w:val="00F257DD"/>
    <w:rsid w:val="00F32B0E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B3A4-2526-4374-BA8D-09857ED7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264</cp:revision>
  <cp:lastPrinted>2023-10-11T08:17:00Z</cp:lastPrinted>
  <dcterms:created xsi:type="dcterms:W3CDTF">2019-01-15T05:22:00Z</dcterms:created>
  <dcterms:modified xsi:type="dcterms:W3CDTF">2023-10-11T08:18:00Z</dcterms:modified>
</cp:coreProperties>
</file>