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8925AE" w:rsidTr="007A01F1">
        <w:tc>
          <w:tcPr>
            <w:tcW w:w="4927" w:type="dxa"/>
          </w:tcPr>
          <w:p w:rsidR="007A01F1" w:rsidRPr="008925AE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8925AE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8925AE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5AE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8925AE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8925AE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2F5DC9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8925AE" w:rsidRPr="008925AE">
              <w:rPr>
                <w:rFonts w:ascii="Times New Roman" w:hAnsi="Times New Roman"/>
                <w:sz w:val="18"/>
                <w:szCs w:val="18"/>
              </w:rPr>
              <w:t>қазан</w:t>
            </w:r>
            <w:proofErr w:type="spellEnd"/>
            <w:r w:rsidR="00A33AE9" w:rsidRPr="008925AE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8925AE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8925AE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8925AE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8925A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8925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Денсаулық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министрінің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2023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жылғы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маусымдағы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№ 110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бұйрығына</w:t>
            </w:r>
            <w:proofErr w:type="spellEnd"/>
            <w:r w:rsidR="003B606E" w:rsidRPr="008925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жасалды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Тегін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кепілдік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берілген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шеңберінде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тергеу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изоляторлары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қылмысты</w:t>
            </w:r>
            <w:proofErr w:type="gram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қ-</w:t>
            </w:r>
            <w:proofErr w:type="gram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атқару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пенитенциарлық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жүйесінің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мекемелерінде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ұсталатын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адамдар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қосымша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бюджет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қаражаты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есебінен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әлеуметтік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сақтандыру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жүйесінде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арнайы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емдік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өнімдерді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қызметтерді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ұйымдастыру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қағидаларын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бекіту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» (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бұдан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</w:t>
            </w:r>
            <w:proofErr w:type="gram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Ережелер</w:t>
            </w:r>
            <w:proofErr w:type="spellEnd"/>
            <w:r w:rsidR="003B606E" w:rsidRPr="008925A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).</w:t>
            </w:r>
          </w:p>
          <w:p w:rsidR="007A01F1" w:rsidRPr="008925AE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25A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8925AE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8925AE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8925AE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8925AE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8925AE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8925AE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8925AE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8925AE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8925AE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8925AE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8925AE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8925AE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8925AE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8925AE">
              <w:rPr>
                <w:rFonts w:cs="Times New Roman"/>
                <w:sz w:val="18"/>
                <w:szCs w:val="18"/>
              </w:rPr>
              <w:t xml:space="preserve">     «</w:t>
            </w:r>
            <w:r w:rsidR="002F5DC9" w:rsidRPr="002F5DC9">
              <w:rPr>
                <w:rFonts w:cs="Times New Roman"/>
                <w:sz w:val="18"/>
                <w:szCs w:val="18"/>
              </w:rPr>
              <w:t>16</w:t>
            </w:r>
            <w:r w:rsidRPr="008925AE">
              <w:rPr>
                <w:rFonts w:cs="Times New Roman"/>
                <w:sz w:val="18"/>
                <w:szCs w:val="18"/>
              </w:rPr>
              <w:t xml:space="preserve">» </w:t>
            </w:r>
            <w:r w:rsidR="008925AE" w:rsidRPr="008925AE">
              <w:rPr>
                <w:rFonts w:cs="Times New Roman"/>
                <w:sz w:val="18"/>
                <w:szCs w:val="18"/>
              </w:rPr>
              <w:t>октября</w:t>
            </w:r>
            <w:r w:rsidRPr="008925AE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8925AE">
              <w:rPr>
                <w:rFonts w:cs="Times New Roman"/>
                <w:sz w:val="18"/>
                <w:szCs w:val="18"/>
              </w:rPr>
              <w:t>3</w:t>
            </w:r>
            <w:r w:rsidRPr="008925AE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8925AE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8925AE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8925AE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8925AE">
              <w:rPr>
                <w:color w:val="000000" w:themeColor="text1"/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8925AE">
              <w:rPr>
                <w:color w:val="000000" w:themeColor="text1"/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8925AE">
              <w:rPr>
                <w:rStyle w:val="s1"/>
                <w:b w:val="0"/>
                <w:sz w:val="18"/>
                <w:szCs w:val="18"/>
              </w:rPr>
              <w:t xml:space="preserve"> 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8925AE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8925AE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8925AE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8925AE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8925A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835"/>
        <w:gridCol w:w="991"/>
        <w:gridCol w:w="991"/>
        <w:gridCol w:w="1447"/>
        <w:gridCol w:w="1250"/>
      </w:tblGrid>
      <w:tr w:rsidR="002E0940" w:rsidRPr="008925AE" w:rsidTr="008925A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8925AE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2E0940" w:rsidRPr="008925AE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23FC3" w:rsidRPr="008925AE" w:rsidTr="008925A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8925AE" w:rsidRDefault="00023FC3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56F2B" w:rsidRPr="00053906" w:rsidRDefault="00556F2B" w:rsidP="00556F2B">
            <w:pPr>
              <w:rPr>
                <w:rFonts w:cstheme="minorHAnsi"/>
                <w:sz w:val="18"/>
                <w:szCs w:val="18"/>
              </w:rPr>
            </w:pPr>
            <w:r w:rsidRPr="00053906">
              <w:rPr>
                <w:rFonts w:cstheme="minorHAnsi"/>
                <w:sz w:val="18"/>
                <w:szCs w:val="18"/>
              </w:rPr>
              <w:t xml:space="preserve">Электрокардиостимулятор, имплантируемый модификации: </w:t>
            </w:r>
          </w:p>
          <w:p w:rsidR="00023FC3" w:rsidRPr="00556F2B" w:rsidRDefault="00556F2B" w:rsidP="009852DF">
            <w:pPr>
              <w:rPr>
                <w:rFonts w:cstheme="minorHAnsi"/>
                <w:sz w:val="18"/>
                <w:szCs w:val="18"/>
                <w:lang w:val="kk-KZ"/>
              </w:rPr>
            </w:pPr>
            <w:r w:rsidRPr="00053906">
              <w:rPr>
                <w:rFonts w:cstheme="minorHAnsi"/>
                <w:sz w:val="18"/>
                <w:szCs w:val="18"/>
              </w:rPr>
              <w:t xml:space="preserve"> (МРТ-совместимый 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>двухкамерный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>) с принадлежностями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556F2B" w:rsidRPr="00053906" w:rsidRDefault="00556F2B" w:rsidP="00556F2B">
            <w:pPr>
              <w:jc w:val="both"/>
              <w:rPr>
                <w:rFonts w:cstheme="minorHAnsi"/>
                <w:sz w:val="18"/>
                <w:szCs w:val="18"/>
              </w:rPr>
            </w:pPr>
            <w:r w:rsidRPr="00053906">
              <w:rPr>
                <w:rFonts w:cstheme="minorHAnsi"/>
                <w:sz w:val="18"/>
                <w:szCs w:val="18"/>
              </w:rPr>
              <w:t xml:space="preserve">Имплантируемый МРТ-совместимый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мультипрограммируемый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двухкамерный частотно-адаптирующий электрокардиостимулятор с функцией активного контроля захвата по обоим каналам в комплекте с принадлежностями. Режимы </w:t>
            </w:r>
            <w:proofErr w:type="spellStart"/>
            <w:proofErr w:type="gramStart"/>
            <w:r w:rsidRPr="00053906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>тимуляции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: ВЫКЛ.; DDD(R); VVI(R); AAI(R); DDI(R); A00(R); VDD(R); VVT; AAT; VDI(R); V00(R); DVI(R); D00(R); DDT. 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 xml:space="preserve">Значение базовой частоты (по обоим каналам) в диапазоне, но не уже чем от 30 до 200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имп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/мин. Значение амплитуды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стимуляционного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импульса (по обоим каналам) в диапазоне, но не уже чем от 0,2 до 7,5 В. Значение длительности импульса (по обоим каналам) в диапазоне, но не уже чем от 0,1 до 1,5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мс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>.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 xml:space="preserve"> Наличие функции активного контроля захвата (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>КЗ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 xml:space="preserve">) (по обоим каналам). Наличие контроля эффективности желудочковой стимуляции c оценкой эффективности каждого навязываемого стимула. Возможность автоматического определения оптимальных значений чувствительности на обоих каналах на постоянной основе. Максимальная частота отслеживания по желудочковому каналу: 200 уд/мин. Сенсор частотной адаптации: акселерометр. Функция частотного гистерезиса: наличие минимум трёх вариантов </w:t>
            </w:r>
            <w:r w:rsidRPr="00053906">
              <w:rPr>
                <w:rFonts w:cstheme="minorHAnsi"/>
                <w:sz w:val="18"/>
                <w:szCs w:val="18"/>
              </w:rPr>
              <w:lastRenderedPageBreak/>
              <w:t xml:space="preserve">гистерезиса - динамический гистерезис; повторный гистерезис; поисковый гистерезис. Значение предсердно-желудочковой задержки в диапазоне, но не уже чем от 20 до 350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мс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. Возможность отдельного программирования для шести частотных диапазонов и раздельного программирования для спонтанных и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стимуляционных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событий. Автоматический алгоритм минимизации желудочковой стимуляции за счет интеллектуального увеличения 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 xml:space="preserve">В-задержки, наличие повторного, поискового AВ-гистерезиса и отрицательного для обеспечения постоянной желудочковой стимуляции. Наличие программируемого ночного ритма стимуляции. Функция автоматического контроля электродов: наличие подпорогового измерения импеданса электродов не реже, чем через каждые 30 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>с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 xml:space="preserve"> независимо 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>от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 xml:space="preserve"> фазы собственного проведения или стимуляции. Функция автоматической проверки электродов: наличие - возможность автоматического изменения полярности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детекции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и стимуляции при выходе значений импеданса за рамки допустимых значений. Функция автоматической инициализации аппарата в момент имплантации: наличие, активация накопления статистики, выполнение автоматического определения полярности электрода. МРТ-совместимость без зон ограничения сканирования (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Full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Body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Scan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) при условии использования в комбинации с МРТ-совместимыми электродами, а также соблюдении требуемых производителем условий проведения исследования. Возможность проведения процедуры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неинвазивного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ЭФИ. Возможность автоматической записи внутрисердечных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электрограмм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(ВЭГМ) в память ЭКС: не менее 4-х эпизодов длительностью до 10 с каждый. Проведение автоматических тестов определения чувствительности, порогов стимуляции и сопротивления по обоим каналам при контрольном осмотре пациента: наличие. Расчётный срок службы: более 12 лет при 50% стимуляции в режиме DDD(R) с базовой частотой не менее 60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имп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>/мин; амплитудой предсердного и желудочкового стимулов не менее 2,5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 xml:space="preserve"> В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 xml:space="preserve">; длительностью импульса по обоим каналам не менее 0,4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lastRenderedPageBreak/>
              <w:t>мс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>; импедансом обоих электродов не более 500 Ом. Масса: не более 23,2 г. Толщина: не более 6,5 мм. Объём: не более 11 см3.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Эндокардиальный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МРТ-совместимый биполярный электрод активной фиксации. Материал изоляционного слоя - полиуретан. Максимальный диаметр электрода не более 5,9 Френч. Варианты длин электрода, 45, 53 и 60 см. Стероид -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дексаметазона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ацетат (содержится в резервуаре для постепенного высвобождения). Межполюсное расстояние не более 10 мм. Тип спирали выдвигаемая/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ретрактируемая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спираль, электрически активная. Длина выдвижения спирали не более 1.8 мм, материал спирали иридиевый сплав, фрактальная поверхность, площадь не менее 4.5 мм². Наличие рентгеновской метки положения спирали. Рекомендуемый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интродьюсер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не более 6 Френч.</w:t>
            </w:r>
          </w:p>
          <w:p w:rsidR="00556F2B" w:rsidRDefault="00556F2B" w:rsidP="00556F2B">
            <w:pPr>
              <w:rPr>
                <w:rFonts w:cstheme="minorHAnsi"/>
                <w:sz w:val="18"/>
                <w:szCs w:val="18"/>
                <w:lang w:val="kk-KZ"/>
              </w:rPr>
            </w:pPr>
            <w:r w:rsidRPr="00053906">
              <w:rPr>
                <w:rFonts w:cstheme="minorHAnsi"/>
                <w:sz w:val="18"/>
                <w:szCs w:val="18"/>
              </w:rPr>
              <w:t xml:space="preserve">Стандартная комплектация состоит 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>из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 xml:space="preserve"> (при поставке в комплектах):</w:t>
            </w:r>
            <w:r>
              <w:rPr>
                <w:rFonts w:cstheme="minorHAnsi"/>
                <w:sz w:val="18"/>
                <w:szCs w:val="18"/>
                <w:lang w:val="kk-KZ"/>
              </w:rPr>
              <w:t xml:space="preserve"> </w:t>
            </w:r>
          </w:p>
          <w:p w:rsidR="00023FC3" w:rsidRPr="008925AE" w:rsidRDefault="00556F2B" w:rsidP="00556F2B">
            <w:pPr>
              <w:rPr>
                <w:sz w:val="18"/>
                <w:szCs w:val="18"/>
              </w:rPr>
            </w:pPr>
            <w:r w:rsidRPr="00053906">
              <w:rPr>
                <w:rFonts w:cstheme="minorHAnsi"/>
                <w:sz w:val="18"/>
                <w:szCs w:val="18"/>
              </w:rPr>
              <w:t>1. Электрокардиостимулятор МРТ-совместимый, двухкамерный – 1 шт.</w:t>
            </w:r>
            <w:r w:rsidRPr="00053906">
              <w:rPr>
                <w:rFonts w:cstheme="minorHAnsi"/>
                <w:sz w:val="18"/>
                <w:szCs w:val="18"/>
              </w:rPr>
              <w:br/>
              <w:t xml:space="preserve">2.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Эндокардиальные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МРТ-совместимые электроды, активной фиксации, диаметром не более 6 Френч – 2 шт.</w:t>
            </w:r>
            <w:r w:rsidRPr="00053906">
              <w:rPr>
                <w:rFonts w:cstheme="minorHAnsi"/>
                <w:sz w:val="18"/>
                <w:szCs w:val="18"/>
              </w:rPr>
              <w:br/>
              <w:t xml:space="preserve">3. </w:t>
            </w:r>
            <w:proofErr w:type="spellStart"/>
            <w:r w:rsidRPr="00053906">
              <w:rPr>
                <w:rFonts w:cstheme="minorHAnsi"/>
                <w:sz w:val="18"/>
                <w:szCs w:val="18"/>
              </w:rPr>
              <w:t>Интродьюсер</w:t>
            </w:r>
            <w:proofErr w:type="spellEnd"/>
            <w:r w:rsidRPr="00053906">
              <w:rPr>
                <w:rFonts w:cstheme="minorHAnsi"/>
                <w:sz w:val="18"/>
                <w:szCs w:val="18"/>
              </w:rPr>
              <w:t xml:space="preserve"> - 2 шт.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780 500,00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2 341 500,00</w:t>
            </w:r>
          </w:p>
        </w:tc>
      </w:tr>
      <w:tr w:rsidR="002F5DC9" w:rsidRPr="008925AE" w:rsidTr="008925A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2F5DC9" w:rsidRPr="002F5DC9" w:rsidRDefault="002F5DC9" w:rsidP="009852DF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F5DC9" w:rsidRPr="008925AE" w:rsidRDefault="00556F2B" w:rsidP="009852DF">
            <w:pPr>
              <w:rPr>
                <w:sz w:val="18"/>
                <w:szCs w:val="18"/>
              </w:rPr>
            </w:pPr>
            <w:proofErr w:type="spellStart"/>
            <w:r w:rsidRPr="00556F2B">
              <w:rPr>
                <w:sz w:val="18"/>
                <w:szCs w:val="18"/>
              </w:rPr>
              <w:t>Интродьюсер</w:t>
            </w:r>
            <w:proofErr w:type="spellEnd"/>
            <w:r w:rsidRPr="00556F2B">
              <w:rPr>
                <w:sz w:val="18"/>
                <w:szCs w:val="18"/>
              </w:rPr>
              <w:t xml:space="preserve"> для проведения электродов 6, 7, 8, 9 </w:t>
            </w:r>
            <w:proofErr w:type="spellStart"/>
            <w:r w:rsidRPr="00556F2B">
              <w:rPr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2F5DC9" w:rsidRPr="008925AE" w:rsidRDefault="00556F2B" w:rsidP="009852DF">
            <w:pPr>
              <w:rPr>
                <w:sz w:val="18"/>
                <w:szCs w:val="18"/>
              </w:rPr>
            </w:pPr>
            <w:proofErr w:type="spellStart"/>
            <w:r w:rsidRPr="00556F2B">
              <w:rPr>
                <w:sz w:val="18"/>
                <w:szCs w:val="18"/>
              </w:rPr>
              <w:t>Интродьюсер</w:t>
            </w:r>
            <w:proofErr w:type="spellEnd"/>
            <w:r w:rsidRPr="00556F2B">
              <w:rPr>
                <w:sz w:val="18"/>
                <w:szCs w:val="18"/>
              </w:rPr>
              <w:t xml:space="preserve"> для проведения электродов 6,7,8,9 </w:t>
            </w:r>
            <w:proofErr w:type="spellStart"/>
            <w:r w:rsidRPr="00556F2B">
              <w:rPr>
                <w:sz w:val="18"/>
                <w:szCs w:val="18"/>
              </w:rPr>
              <w:t>Fr</w:t>
            </w:r>
            <w:proofErr w:type="spellEnd"/>
            <w:r w:rsidRPr="00556F2B">
              <w:rPr>
                <w:sz w:val="18"/>
                <w:szCs w:val="18"/>
              </w:rPr>
              <w:t xml:space="preserve">. Длина </w:t>
            </w:r>
            <w:proofErr w:type="spellStart"/>
            <w:r w:rsidRPr="00556F2B">
              <w:rPr>
                <w:sz w:val="18"/>
                <w:szCs w:val="18"/>
              </w:rPr>
              <w:t>интродьюсера</w:t>
            </w:r>
            <w:proofErr w:type="spellEnd"/>
            <w:r w:rsidRPr="00556F2B">
              <w:rPr>
                <w:sz w:val="18"/>
                <w:szCs w:val="18"/>
              </w:rPr>
              <w:t xml:space="preserve"> 15 см. </w:t>
            </w:r>
            <w:proofErr w:type="spellStart"/>
            <w:r w:rsidRPr="00556F2B">
              <w:rPr>
                <w:sz w:val="18"/>
                <w:szCs w:val="18"/>
              </w:rPr>
              <w:t>Инродьюсер</w:t>
            </w:r>
            <w:proofErr w:type="spellEnd"/>
            <w:r w:rsidRPr="00556F2B">
              <w:rPr>
                <w:sz w:val="18"/>
                <w:szCs w:val="18"/>
              </w:rPr>
              <w:t xml:space="preserve"> состоит из внешнего отслаиваемого </w:t>
            </w:r>
            <w:proofErr w:type="spellStart"/>
            <w:r w:rsidRPr="00556F2B">
              <w:rPr>
                <w:sz w:val="18"/>
                <w:szCs w:val="18"/>
              </w:rPr>
              <w:t>интродьюсера</w:t>
            </w:r>
            <w:proofErr w:type="spellEnd"/>
            <w:r w:rsidRPr="00556F2B">
              <w:rPr>
                <w:sz w:val="18"/>
                <w:szCs w:val="18"/>
              </w:rPr>
              <w:t xml:space="preserve"> и дилататора. В </w:t>
            </w:r>
            <w:proofErr w:type="spellStart"/>
            <w:r w:rsidRPr="00556F2B">
              <w:rPr>
                <w:sz w:val="18"/>
                <w:szCs w:val="18"/>
              </w:rPr>
              <w:t>проксимлаьной</w:t>
            </w:r>
            <w:proofErr w:type="spellEnd"/>
            <w:r w:rsidRPr="00556F2B">
              <w:rPr>
                <w:sz w:val="18"/>
                <w:szCs w:val="18"/>
              </w:rPr>
              <w:t xml:space="preserve"> части </w:t>
            </w:r>
            <w:proofErr w:type="gramStart"/>
            <w:r w:rsidRPr="00556F2B">
              <w:rPr>
                <w:sz w:val="18"/>
                <w:szCs w:val="18"/>
              </w:rPr>
              <w:t>распложен</w:t>
            </w:r>
            <w:proofErr w:type="gramEnd"/>
            <w:r w:rsidRPr="00556F2B">
              <w:rPr>
                <w:sz w:val="18"/>
                <w:szCs w:val="18"/>
              </w:rPr>
              <w:t xml:space="preserve"> </w:t>
            </w:r>
            <w:proofErr w:type="spellStart"/>
            <w:r w:rsidRPr="00556F2B">
              <w:rPr>
                <w:sz w:val="18"/>
                <w:szCs w:val="18"/>
              </w:rPr>
              <w:t>хаб</w:t>
            </w:r>
            <w:proofErr w:type="spellEnd"/>
            <w:r w:rsidRPr="00556F2B">
              <w:rPr>
                <w:sz w:val="18"/>
                <w:szCs w:val="18"/>
              </w:rPr>
              <w:t xml:space="preserve"> для снятия внешнего отслаиваемого </w:t>
            </w:r>
            <w:proofErr w:type="spellStart"/>
            <w:r w:rsidRPr="00556F2B">
              <w:rPr>
                <w:sz w:val="18"/>
                <w:szCs w:val="18"/>
              </w:rPr>
              <w:t>интродьюсера</w:t>
            </w:r>
            <w:proofErr w:type="spellEnd"/>
            <w:r w:rsidRPr="00556F2B">
              <w:rPr>
                <w:sz w:val="18"/>
                <w:szCs w:val="18"/>
              </w:rPr>
              <w:t>.  Упаковка состоит из: проводника, иглы и шприца. Длина проводника 50 см с диметром 0.035 дюйм.   Игла на 18G с канюлей из нержавеющей стали. Шприц 10 см3.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F5DC9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F5DC9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F5DC9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20 000,00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2F5DC9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240 000,00</w:t>
            </w:r>
          </w:p>
        </w:tc>
      </w:tr>
      <w:tr w:rsidR="002F5DC9" w:rsidRPr="008925AE" w:rsidTr="008925AE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2F5DC9" w:rsidRPr="002F5DC9" w:rsidRDefault="002F5DC9" w:rsidP="009852DF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56F2B" w:rsidRPr="00556F2B" w:rsidRDefault="00556F2B" w:rsidP="00556F2B">
            <w:pPr>
              <w:rPr>
                <w:sz w:val="18"/>
                <w:szCs w:val="18"/>
              </w:rPr>
            </w:pPr>
            <w:proofErr w:type="spellStart"/>
            <w:r w:rsidRPr="00556F2B">
              <w:rPr>
                <w:sz w:val="18"/>
                <w:szCs w:val="18"/>
              </w:rPr>
              <w:t>Эндокардиальный</w:t>
            </w:r>
            <w:proofErr w:type="spellEnd"/>
            <w:r w:rsidRPr="00556F2B">
              <w:rPr>
                <w:sz w:val="18"/>
                <w:szCs w:val="18"/>
              </w:rPr>
              <w:t xml:space="preserve">, биполярный, </w:t>
            </w:r>
          </w:p>
          <w:p w:rsidR="002F5DC9" w:rsidRPr="008925AE" w:rsidRDefault="00556F2B" w:rsidP="00556F2B">
            <w:pPr>
              <w:rPr>
                <w:sz w:val="18"/>
                <w:szCs w:val="18"/>
              </w:rPr>
            </w:pPr>
            <w:r w:rsidRPr="00556F2B">
              <w:rPr>
                <w:sz w:val="18"/>
                <w:szCs w:val="18"/>
              </w:rPr>
              <w:t>стероидный МРТ-совместимый электрод активной фиксации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2F5DC9" w:rsidRPr="008925AE" w:rsidRDefault="00556F2B" w:rsidP="009852DF">
            <w:pPr>
              <w:rPr>
                <w:sz w:val="18"/>
                <w:szCs w:val="18"/>
              </w:rPr>
            </w:pPr>
            <w:proofErr w:type="spellStart"/>
            <w:r w:rsidRPr="00556F2B">
              <w:rPr>
                <w:sz w:val="18"/>
                <w:szCs w:val="18"/>
              </w:rPr>
              <w:t>Эндокардиальный</w:t>
            </w:r>
            <w:proofErr w:type="spellEnd"/>
            <w:r w:rsidRPr="00556F2B">
              <w:rPr>
                <w:sz w:val="18"/>
                <w:szCs w:val="18"/>
              </w:rPr>
              <w:t xml:space="preserve"> МРТ-совместимый биполярный электрод активной фиксации. Материал изоляционного слоя - полиуретан. Максимальный диаметр электрода не более 5,9 Френч. Варианты длин электрода, 53 и 60 см. Стероид - </w:t>
            </w:r>
            <w:proofErr w:type="spellStart"/>
            <w:r w:rsidRPr="00556F2B">
              <w:rPr>
                <w:sz w:val="18"/>
                <w:szCs w:val="18"/>
              </w:rPr>
              <w:t>дексаметазона</w:t>
            </w:r>
            <w:proofErr w:type="spellEnd"/>
            <w:r w:rsidRPr="00556F2B">
              <w:rPr>
                <w:sz w:val="18"/>
                <w:szCs w:val="18"/>
              </w:rPr>
              <w:t xml:space="preserve"> ацетат (содержится в резервуаре для постепенного высвобождения). Межполюсное расстояние не более 10 мм. Тип спирали выдвигаемая/</w:t>
            </w:r>
            <w:proofErr w:type="spellStart"/>
            <w:r w:rsidRPr="00556F2B">
              <w:rPr>
                <w:sz w:val="18"/>
                <w:szCs w:val="18"/>
              </w:rPr>
              <w:t>ретрактируемая</w:t>
            </w:r>
            <w:proofErr w:type="spellEnd"/>
            <w:r w:rsidRPr="00556F2B">
              <w:rPr>
                <w:sz w:val="18"/>
                <w:szCs w:val="18"/>
              </w:rPr>
              <w:t xml:space="preserve"> спираль, электрически активная. Длина выдвижения спирали не более 1.8 мм, материал спирали иридиевый сплав, фрактальная поверхность, площадь не менее 4.5 мм². Наличие рентгеновской </w:t>
            </w:r>
            <w:r w:rsidRPr="00556F2B">
              <w:rPr>
                <w:sz w:val="18"/>
                <w:szCs w:val="18"/>
              </w:rPr>
              <w:lastRenderedPageBreak/>
              <w:t xml:space="preserve">метки положения спирали. Рекомендуемый </w:t>
            </w:r>
            <w:proofErr w:type="spellStart"/>
            <w:r w:rsidRPr="00556F2B">
              <w:rPr>
                <w:sz w:val="18"/>
                <w:szCs w:val="18"/>
              </w:rPr>
              <w:t>интродьюсер</w:t>
            </w:r>
            <w:proofErr w:type="spellEnd"/>
            <w:r w:rsidRPr="00556F2B">
              <w:rPr>
                <w:sz w:val="18"/>
                <w:szCs w:val="18"/>
              </w:rPr>
              <w:t xml:space="preserve"> не более 6 Френч.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F5DC9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F5DC9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F5DC9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165 000,00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2F5DC9" w:rsidRPr="00556F2B" w:rsidRDefault="00556F2B" w:rsidP="00B33C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1 320 000,00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8925AE" w:rsidTr="00CB0271">
        <w:tc>
          <w:tcPr>
            <w:tcW w:w="4927" w:type="dxa"/>
          </w:tcPr>
          <w:p w:rsidR="0091217A" w:rsidRPr="008925AE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8925AE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556F2B" w:rsidRPr="00556F2B">
              <w:rPr>
                <w:rFonts w:cs="Times New Roman"/>
                <w:sz w:val="18"/>
                <w:szCs w:val="18"/>
              </w:rPr>
              <w:t>3 901 500,00 (</w:t>
            </w:r>
            <w:proofErr w:type="spellStart"/>
            <w:r w:rsidR="00556F2B" w:rsidRPr="00556F2B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556F2B" w:rsidRPr="00556F2B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556F2B" w:rsidRPr="00556F2B">
              <w:rPr>
                <w:rFonts w:cs="Times New Roman"/>
                <w:sz w:val="18"/>
                <w:szCs w:val="18"/>
              </w:rPr>
              <w:t>тоғыз</w:t>
            </w:r>
            <w:proofErr w:type="spellEnd"/>
            <w:r w:rsidR="00556F2B" w:rsidRPr="00556F2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56F2B" w:rsidRPr="00556F2B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556F2B" w:rsidRPr="00556F2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56F2B" w:rsidRPr="00556F2B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556F2B" w:rsidRPr="00556F2B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556F2B" w:rsidRPr="00556F2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56F2B" w:rsidRPr="00556F2B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556F2B" w:rsidRPr="00556F2B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556F2B" w:rsidRPr="00556F2B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9852DF" w:rsidRPr="008925AE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9852DF" w:rsidRPr="008925AE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9852DF" w:rsidRPr="008925AE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8925AE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8925AE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>:</w:t>
            </w:r>
            <w:r w:rsidRPr="008925AE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8925AE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8925AE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2F5DC9" w:rsidRPr="002F5DC9">
              <w:rPr>
                <w:rFonts w:cs="Times New Roman"/>
                <w:sz w:val="18"/>
                <w:szCs w:val="18"/>
              </w:rPr>
              <w:t>23</w:t>
            </w:r>
            <w:r w:rsidR="007A01F1" w:rsidRPr="008925AE">
              <w:rPr>
                <w:rFonts w:cs="Times New Roman"/>
                <w:sz w:val="18"/>
                <w:szCs w:val="18"/>
              </w:rPr>
              <w:t>.</w:t>
            </w:r>
            <w:r w:rsidR="009852DF" w:rsidRPr="008925AE">
              <w:rPr>
                <w:rFonts w:cs="Times New Roman"/>
                <w:sz w:val="18"/>
                <w:szCs w:val="18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.202</w:t>
            </w:r>
            <w:r w:rsidR="00A33AE9" w:rsidRPr="008925AE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8925AE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8925AE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8925AE">
              <w:rPr>
                <w:rFonts w:cs="Times New Roman"/>
                <w:sz w:val="18"/>
                <w:szCs w:val="18"/>
              </w:rPr>
              <w:t>09</w:t>
            </w:r>
            <w:r w:rsidR="00A33AE9" w:rsidRPr="008925AE">
              <w:rPr>
                <w:rFonts w:cs="Times New Roman"/>
                <w:sz w:val="18"/>
                <w:szCs w:val="18"/>
              </w:rPr>
              <w:t>: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8925AE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8925AE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2F5DC9" w:rsidRPr="002F5DC9">
              <w:rPr>
                <w:rFonts w:cs="Times New Roman"/>
                <w:sz w:val="18"/>
                <w:szCs w:val="18"/>
              </w:rPr>
              <w:t>23</w:t>
            </w:r>
            <w:r w:rsidR="007A01F1" w:rsidRPr="008925AE">
              <w:rPr>
                <w:rFonts w:cs="Times New Roman"/>
                <w:sz w:val="18"/>
                <w:szCs w:val="18"/>
              </w:rPr>
              <w:t>.</w:t>
            </w:r>
            <w:r w:rsidR="009852DF" w:rsidRPr="008925AE">
              <w:rPr>
                <w:rFonts w:cs="Times New Roman"/>
                <w:sz w:val="18"/>
                <w:szCs w:val="18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.202</w:t>
            </w:r>
            <w:r w:rsidR="00A33AE9" w:rsidRPr="008925AE">
              <w:rPr>
                <w:rFonts w:cs="Times New Roman"/>
                <w:sz w:val="18"/>
                <w:szCs w:val="18"/>
              </w:rPr>
              <w:t>3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8925AE">
              <w:rPr>
                <w:rFonts w:cs="Times New Roman"/>
                <w:sz w:val="18"/>
                <w:szCs w:val="18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:</w:t>
            </w:r>
            <w:r w:rsidR="00B42267" w:rsidRPr="008925AE">
              <w:rPr>
                <w:rFonts w:cs="Times New Roman"/>
                <w:sz w:val="18"/>
                <w:szCs w:val="18"/>
              </w:rPr>
              <w:t>00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Default="00C92224" w:rsidP="00F65F5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8925AE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8925A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556F2B" w:rsidRDefault="00556F2B" w:rsidP="00556F2B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cs="Times New Roman"/>
                <w:b/>
                <w:sz w:val="18"/>
                <w:szCs w:val="18"/>
                <w:lang w:val="kk-KZ"/>
              </w:rPr>
              <w:t xml:space="preserve">        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kk-KZ"/>
              </w:rPr>
              <w:t>Мәміле жасау кезінде, оның ішінде тендерлік құжаттамада қолды факсимильді көшіру құралдарын пайдалануға жол берілмейді.</w:t>
            </w:r>
          </w:p>
          <w:p w:rsidR="00AF229F" w:rsidRPr="008925AE" w:rsidRDefault="00EC52F2" w:rsidP="00F65F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56F2B">
              <w:rPr>
                <w:rFonts w:cs="Times New Roman"/>
                <w:color w:val="000000" w:themeColor="text1"/>
                <w:sz w:val="18"/>
                <w:szCs w:val="18"/>
                <w:lang w:val="kk-KZ"/>
              </w:rPr>
              <w:t xml:space="preserve">         </w:t>
            </w:r>
            <w:r w:rsidR="00AF229F" w:rsidRPr="00556F2B">
              <w:rPr>
                <w:rFonts w:cs="Times New Roman"/>
                <w:color w:val="000000" w:themeColor="text1"/>
                <w:sz w:val="18"/>
                <w:szCs w:val="18"/>
                <w:lang w:val="kk-KZ"/>
              </w:rPr>
              <w:t xml:space="preserve">Әлеуетті өнім беруші баға ұсыныстарын ұсынудың соңғы мерзімі аяқталғанға дейін мөрленген түрде бір ғана баға ұсынысын ұсынады.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Конвертте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белгілеген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мерзімдерде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лицензиялау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рәсімі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рұқсат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органдары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әрекеттерді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операцияларды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тұлғаның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құқықтарын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ұсынылатын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дәрілік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заттардың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осы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қызметтердің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сипаттамасы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көлеміне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бұйымдар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жатады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8925AE" w:rsidRDefault="00E469EA" w:rsidP="00F2140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ұсынуы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5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жеткізуді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сұрау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салу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талаптарын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үлгілік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арналған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шартты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сақтай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отырып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келісі</w:t>
            </w:r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ін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білдіру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нысаны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табылады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Ең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төмен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ба</w:t>
            </w:r>
            <w:proofErr w:type="gram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ға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="00AF229F"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8925AE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8925AE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бірдей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жағдайларда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інші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7A01F1" w:rsidRPr="008925AE" w:rsidRDefault="00AF229F" w:rsidP="00AF229F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құжаттары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80-тармағына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қатысқан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осындай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шешім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қабылдайды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="00F21401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берушіге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ұйымдастырушыға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танылған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күнтізбелік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10 (он)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Қағидаларда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сәйкестігін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мынадай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құжаттарды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8925AE">
              <w:rPr>
                <w:rFonts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CB0271" w:rsidRPr="008925AE" w:rsidRDefault="00E469EA" w:rsidP="00CB027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CB0271"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1)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құралдарының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"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рұқсаттар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туралы"Заңға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жіберілген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құжат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індегі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көшірмелері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олар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расталады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заңға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нотариат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куәландырған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ұқсаттар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";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құрмай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құқық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беретін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құжаттың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3)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қайта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анықтама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куәліктің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паспорттың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жарғысының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жарғыда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акционерлердің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көрсетілмесе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онда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акцияларды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ұстаушылар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тізілімінен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жарияланған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кейін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құрылтай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ұсынылады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5) "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үкімет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" веб-порталы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төлеуші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кабинеті"веб-қосымшасы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іріс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органдарында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есепке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жүргізілетін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берешектің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жоқ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(бар)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екендігі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6) осы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табылмайтындығы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органының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анықтамасының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пн</w:t>
            </w:r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ұсқасы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табылмаса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төлеушісі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ретінде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тіркелмесе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шарттарына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келмеген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</w:p>
          <w:p w:rsidR="007A01F1" w:rsidRPr="008925AE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алған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бес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жұмыс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күні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шартына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қояды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ұйымдастырушыны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шарттарымен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келіспегені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қоюдан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тартқаны</w:t>
            </w:r>
            <w:proofErr w:type="spellEnd"/>
            <w:proofErr w:type="gram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жазбаша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хабардар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етеді</w:t>
            </w:r>
            <w:proofErr w:type="spellEnd"/>
            <w:r w:rsidRPr="008925AE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E469EA" w:rsidRPr="008925AE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8925AE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="00556F2B">
              <w:rPr>
                <w:rFonts w:cs="Times New Roman"/>
                <w:sz w:val="18"/>
                <w:szCs w:val="18"/>
                <w:lang w:val="kk-KZ"/>
              </w:rPr>
              <w:t>3 901 500</w:t>
            </w:r>
            <w:r w:rsidR="008925AE" w:rsidRPr="008925AE">
              <w:rPr>
                <w:rFonts w:cs="Times New Roman"/>
                <w:sz w:val="18"/>
                <w:szCs w:val="18"/>
              </w:rPr>
              <w:t>,00</w:t>
            </w:r>
            <w:r w:rsidR="0078134E" w:rsidRPr="008925AE">
              <w:rPr>
                <w:rFonts w:cs="Times New Roman"/>
                <w:sz w:val="18"/>
                <w:szCs w:val="18"/>
              </w:rPr>
              <w:t xml:space="preserve"> </w:t>
            </w:r>
            <w:r w:rsidRPr="008925AE">
              <w:rPr>
                <w:rFonts w:cs="Times New Roman"/>
                <w:sz w:val="18"/>
                <w:szCs w:val="18"/>
              </w:rPr>
              <w:t>(</w:t>
            </w:r>
            <w:r w:rsidR="00556F2B">
              <w:rPr>
                <w:rFonts w:cs="Times New Roman"/>
                <w:sz w:val="18"/>
                <w:szCs w:val="18"/>
                <w:lang w:val="kk-KZ"/>
              </w:rPr>
              <w:t>три миллиона девятьсот одна тысяча пятьсот</w:t>
            </w:r>
            <w:r w:rsidRPr="008925AE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8925AE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8925AE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8925AE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8925AE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8925AE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8925AE">
              <w:rPr>
                <w:b/>
                <w:color w:val="000000"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8925AE">
              <w:rPr>
                <w:b/>
                <w:sz w:val="18"/>
                <w:szCs w:val="18"/>
              </w:rPr>
              <w:t xml:space="preserve"> </w:t>
            </w:r>
            <w:r w:rsidRPr="008925AE">
              <w:rPr>
                <w:b/>
                <w:color w:val="000000"/>
                <w:sz w:val="18"/>
                <w:szCs w:val="18"/>
              </w:rPr>
              <w:t>предложений</w:t>
            </w:r>
            <w:r w:rsidR="007A01F1" w:rsidRPr="008925AE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8925A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8925AE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8925AE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8925AE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2F5DC9" w:rsidRPr="002F5DC9">
              <w:rPr>
                <w:rFonts w:cs="Times New Roman"/>
                <w:sz w:val="18"/>
                <w:szCs w:val="18"/>
              </w:rPr>
              <w:t>23</w:t>
            </w:r>
            <w:r w:rsidR="007A01F1" w:rsidRPr="008925AE">
              <w:rPr>
                <w:rFonts w:cs="Times New Roman"/>
                <w:sz w:val="18"/>
                <w:szCs w:val="18"/>
              </w:rPr>
              <w:t>.</w:t>
            </w:r>
            <w:r w:rsidR="009852DF" w:rsidRPr="008925AE">
              <w:rPr>
                <w:rFonts w:cs="Times New Roman"/>
                <w:sz w:val="18"/>
                <w:szCs w:val="18"/>
              </w:rPr>
              <w:t>10</w:t>
            </w:r>
            <w:r w:rsidR="007A01F1" w:rsidRPr="008925AE">
              <w:rPr>
                <w:rFonts w:cs="Times New Roman"/>
                <w:sz w:val="18"/>
                <w:szCs w:val="18"/>
              </w:rPr>
              <w:t>.202</w:t>
            </w:r>
            <w:r w:rsidR="00A33AE9" w:rsidRPr="008925AE">
              <w:rPr>
                <w:rFonts w:cs="Times New Roman"/>
                <w:sz w:val="18"/>
                <w:szCs w:val="18"/>
              </w:rPr>
              <w:t>3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8925AE">
              <w:rPr>
                <w:rFonts w:cs="Times New Roman"/>
                <w:sz w:val="18"/>
                <w:szCs w:val="18"/>
              </w:rPr>
              <w:t>09</w:t>
            </w:r>
            <w:r w:rsidR="007A01F1" w:rsidRPr="008925AE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8925AE">
              <w:rPr>
                <w:b/>
                <w:color w:val="000000"/>
                <w:sz w:val="18"/>
                <w:szCs w:val="18"/>
              </w:rPr>
              <w:t>рассмотрения</w:t>
            </w:r>
            <w:r w:rsidR="0017111C" w:rsidRPr="008925AE">
              <w:rPr>
                <w:color w:val="000000"/>
                <w:sz w:val="18"/>
                <w:szCs w:val="18"/>
              </w:rPr>
              <w:t xml:space="preserve"> </w:t>
            </w:r>
            <w:r w:rsidRPr="008925AE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8925AE">
              <w:rPr>
                <w:rFonts w:cs="Times New Roman"/>
                <w:sz w:val="18"/>
                <w:szCs w:val="18"/>
              </w:rPr>
              <w:t xml:space="preserve">: дата </w:t>
            </w:r>
            <w:r w:rsidR="002F5DC9" w:rsidRPr="002F5DC9">
              <w:rPr>
                <w:rFonts w:cs="Times New Roman"/>
                <w:sz w:val="18"/>
                <w:szCs w:val="18"/>
              </w:rPr>
              <w:t>23</w:t>
            </w:r>
            <w:r w:rsidRPr="008925AE">
              <w:rPr>
                <w:rFonts w:cs="Times New Roman"/>
                <w:sz w:val="18"/>
                <w:szCs w:val="18"/>
              </w:rPr>
              <w:t>.</w:t>
            </w:r>
            <w:r w:rsidR="009852DF" w:rsidRPr="008925AE">
              <w:rPr>
                <w:rFonts w:cs="Times New Roman"/>
                <w:sz w:val="18"/>
                <w:szCs w:val="18"/>
              </w:rPr>
              <w:t>10</w:t>
            </w:r>
            <w:r w:rsidRPr="008925AE">
              <w:rPr>
                <w:rFonts w:cs="Times New Roman"/>
                <w:sz w:val="18"/>
                <w:szCs w:val="18"/>
              </w:rPr>
              <w:t>.202</w:t>
            </w:r>
            <w:r w:rsidR="00A33AE9" w:rsidRPr="008925AE">
              <w:rPr>
                <w:rFonts w:cs="Times New Roman"/>
                <w:sz w:val="18"/>
                <w:szCs w:val="18"/>
              </w:rPr>
              <w:t>3</w:t>
            </w:r>
            <w:r w:rsidRPr="008925AE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8925AE">
              <w:rPr>
                <w:rFonts w:cs="Times New Roman"/>
                <w:sz w:val="18"/>
                <w:szCs w:val="18"/>
              </w:rPr>
              <w:t>10</w:t>
            </w:r>
            <w:r w:rsidRPr="008925AE">
              <w:rPr>
                <w:rFonts w:cs="Times New Roman"/>
                <w:sz w:val="18"/>
                <w:szCs w:val="18"/>
              </w:rPr>
              <w:t>:</w:t>
            </w:r>
            <w:r w:rsidR="00B42267" w:rsidRPr="008925AE">
              <w:rPr>
                <w:rFonts w:cs="Times New Roman"/>
                <w:sz w:val="18"/>
                <w:szCs w:val="18"/>
              </w:rPr>
              <w:t>00</w:t>
            </w:r>
            <w:r w:rsidRPr="008925AE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8925AE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8925AE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8925AE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8925AE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8925AE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>
              <w:rPr>
                <w:rFonts w:cs="Times New Roman"/>
                <w:b/>
                <w:sz w:val="18"/>
                <w:szCs w:val="18"/>
                <w:lang w:val="kk-KZ"/>
              </w:rPr>
              <w:t xml:space="preserve">Не </w:t>
            </w:r>
            <w:r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д</w:t>
            </w:r>
            <w:r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</w:rPr>
              <w:t>опускается при совершении сделки</w:t>
            </w:r>
            <w:r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, в том числе в тендерной документации</w:t>
            </w:r>
            <w:r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использование средств факсимильного копирования подписи</w:t>
            </w:r>
            <w:r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. </w:t>
            </w:r>
          </w:p>
          <w:p w:rsidR="00F257DD" w:rsidRPr="008925AE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0" w:name="z374"/>
            <w:r w:rsidRPr="008925AE">
              <w:rPr>
                <w:color w:val="000000"/>
                <w:sz w:val="18"/>
                <w:szCs w:val="18"/>
              </w:rPr>
              <w:t xml:space="preserve">             </w:t>
            </w:r>
            <w:r w:rsidR="0017111C" w:rsidRPr="008925AE">
              <w:rPr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8925AE">
              <w:rPr>
                <w:color w:val="000000"/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</w:t>
            </w:r>
            <w:bookmarkStart w:id="1" w:name="_GoBack"/>
            <w:bookmarkEnd w:id="1"/>
            <w:r w:rsidR="0017111C" w:rsidRPr="008925AE">
              <w:rPr>
                <w:color w:val="000000"/>
                <w:sz w:val="18"/>
                <w:szCs w:val="18"/>
              </w:rPr>
              <w:t>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8925AE">
              <w:rPr>
                <w:color w:val="000000"/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8925A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8925AE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0"/>
            <w:r w:rsidRPr="008925AE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8925AE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8925AE">
              <w:rPr>
                <w:rFonts w:cs="Times New Roman"/>
                <w:sz w:val="18"/>
                <w:szCs w:val="18"/>
              </w:rPr>
              <w:t xml:space="preserve">.    </w:t>
            </w:r>
            <w:r w:rsidRPr="008925AE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8925AE" w:rsidRDefault="000E02BE" w:rsidP="00F65F58">
            <w:pPr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8925AE">
              <w:rPr>
                <w:color w:val="000000"/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8925AE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8925AE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8925AE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8925AE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8925AE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8925AE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8925AE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925AE">
              <w:rPr>
                <w:b/>
                <w:color w:val="000000"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8925AE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8925AE">
              <w:rPr>
                <w:rFonts w:cs="Times New Roman"/>
                <w:sz w:val="18"/>
                <w:szCs w:val="18"/>
              </w:rPr>
              <w:lastRenderedPageBreak/>
              <w:t xml:space="preserve">      </w:t>
            </w:r>
            <w:proofErr w:type="gramStart"/>
            <w:r w:rsidRPr="008925AE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8925AE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8925AE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8925AE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8925AE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8925AE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8925AE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8925AE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8925AE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8925AE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8925AE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8925AE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8925AE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8925AE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8925AE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8925AE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8925AE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8925AE">
              <w:rPr>
                <w:sz w:val="18"/>
                <w:szCs w:val="18"/>
              </w:rPr>
              <w:t xml:space="preserve">несоответствии </w:t>
            </w:r>
            <w:r w:rsidR="00AF229F" w:rsidRPr="008925AE">
              <w:rPr>
                <w:color w:val="000000"/>
                <w:sz w:val="18"/>
                <w:szCs w:val="18"/>
              </w:rPr>
              <w:t>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8925A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7A01F1" w:rsidRPr="008925AE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8925AE">
              <w:rPr>
                <w:rFonts w:cs="Times New Roman"/>
                <w:sz w:val="18"/>
                <w:szCs w:val="18"/>
              </w:rPr>
              <w:t>рабочих</w:t>
            </w:r>
            <w:r w:rsidRPr="008925AE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8925AE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8925AE">
              <w:rPr>
                <w:color w:val="000000"/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8925AE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8925AE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8925AE" w:rsidTr="00F65F58">
        <w:tc>
          <w:tcPr>
            <w:tcW w:w="3085" w:type="dxa"/>
            <w:vAlign w:val="center"/>
          </w:tcPr>
          <w:p w:rsidR="007A01F1" w:rsidRPr="008925AE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8925AE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8925AE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8925AE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8925AE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892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8925AE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25AE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8925AE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8925AE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8925AE" w:rsidRDefault="0080080F" w:rsidP="0048597F">
      <w:pPr>
        <w:rPr>
          <w:rFonts w:cs="Times New Roman"/>
          <w:sz w:val="16"/>
          <w:szCs w:val="16"/>
        </w:rPr>
      </w:pPr>
      <w:r w:rsidRPr="008925AE">
        <w:rPr>
          <w:rFonts w:cs="Times New Roman"/>
          <w:i/>
          <w:sz w:val="16"/>
          <w:szCs w:val="16"/>
        </w:rPr>
        <w:t>8-727-278-04-44</w:t>
      </w:r>
    </w:p>
    <w:sectPr w:rsidR="0086053E" w:rsidRPr="008925A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3FC3"/>
    <w:rsid w:val="00026F71"/>
    <w:rsid w:val="00034096"/>
    <w:rsid w:val="00047263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0BE6"/>
    <w:rsid w:val="00252AE7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D3FAC"/>
    <w:rsid w:val="007D4CE6"/>
    <w:rsid w:val="007D6ED1"/>
    <w:rsid w:val="007D726A"/>
    <w:rsid w:val="007D7F11"/>
    <w:rsid w:val="007F579C"/>
    <w:rsid w:val="0080080F"/>
    <w:rsid w:val="00814BA1"/>
    <w:rsid w:val="00823998"/>
    <w:rsid w:val="008326E4"/>
    <w:rsid w:val="00854526"/>
    <w:rsid w:val="0086053E"/>
    <w:rsid w:val="00872CEB"/>
    <w:rsid w:val="00887A1A"/>
    <w:rsid w:val="00887B82"/>
    <w:rsid w:val="008925AE"/>
    <w:rsid w:val="008A3786"/>
    <w:rsid w:val="008A611E"/>
    <w:rsid w:val="008C2B56"/>
    <w:rsid w:val="008D65C8"/>
    <w:rsid w:val="008D6B6F"/>
    <w:rsid w:val="008E5FB5"/>
    <w:rsid w:val="0090711C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5D9B"/>
    <w:rsid w:val="00A91C50"/>
    <w:rsid w:val="00A939E7"/>
    <w:rsid w:val="00A966A6"/>
    <w:rsid w:val="00AA1CC0"/>
    <w:rsid w:val="00AA2089"/>
    <w:rsid w:val="00AA581E"/>
    <w:rsid w:val="00AA62E9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EC52F2"/>
    <w:rsid w:val="00F03D2D"/>
    <w:rsid w:val="00F04A5C"/>
    <w:rsid w:val="00F1687D"/>
    <w:rsid w:val="00F21401"/>
    <w:rsid w:val="00F257DD"/>
    <w:rsid w:val="00F32B0E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AEFA-3932-4C63-819D-D873E3B0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5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269</cp:revision>
  <cp:lastPrinted>2023-10-16T05:15:00Z</cp:lastPrinted>
  <dcterms:created xsi:type="dcterms:W3CDTF">2019-01-15T05:22:00Z</dcterms:created>
  <dcterms:modified xsi:type="dcterms:W3CDTF">2023-10-16T05:18:00Z</dcterms:modified>
</cp:coreProperties>
</file>