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C7892" w:rsidTr="00B73625">
        <w:tc>
          <w:tcPr>
            <w:tcW w:w="4927" w:type="dxa"/>
          </w:tcPr>
          <w:p w:rsidR="007A01F1" w:rsidRPr="007C7892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7C7892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7C7892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892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7C78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C789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7C7892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7C7892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E566B8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  <w:r w:rsidRPr="007C789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7C7892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7C789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7C7892">
              <w:rPr>
                <w:rFonts w:ascii="Times New Roman" w:hAnsi="Times New Roman"/>
                <w:sz w:val="18"/>
                <w:szCs w:val="18"/>
              </w:rPr>
              <w:t>4</w:t>
            </w:r>
            <w:r w:rsidRPr="007C7892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7C7892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7C7892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C7892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7C789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7C78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7C78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7C789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7C7892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7C7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789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7C7892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7C789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7C7892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7C7892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7C7892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7C7892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7C7892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7C7892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7A01F1" w:rsidRPr="007C7892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7C7892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7C7892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7C7892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7C7892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7C7892">
              <w:rPr>
                <w:rFonts w:cs="Times New Roman"/>
                <w:sz w:val="18"/>
                <w:szCs w:val="18"/>
              </w:rPr>
              <w:t xml:space="preserve">     «</w:t>
            </w:r>
            <w:r w:rsidR="00E566B8">
              <w:rPr>
                <w:rFonts w:cs="Times New Roman"/>
                <w:sz w:val="18"/>
                <w:szCs w:val="18"/>
                <w:lang w:val="kk-KZ"/>
              </w:rPr>
              <w:t>17</w:t>
            </w:r>
            <w:r w:rsidRPr="007C7892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7C7892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7C7892">
              <w:rPr>
                <w:rFonts w:cs="Times New Roman"/>
                <w:sz w:val="18"/>
                <w:szCs w:val="18"/>
              </w:rPr>
              <w:t>202</w:t>
            </w:r>
            <w:r w:rsidR="00BE0D7F" w:rsidRPr="007C7892">
              <w:rPr>
                <w:rFonts w:cs="Times New Roman"/>
                <w:sz w:val="18"/>
                <w:szCs w:val="18"/>
              </w:rPr>
              <w:t>4</w:t>
            </w:r>
            <w:r w:rsidRPr="007C7892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7C7892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7C7892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7C7892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7C7892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7C7892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7C7892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7C7892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7C7892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7C7892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7C7892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7C789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4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991"/>
        <w:gridCol w:w="1136"/>
        <w:gridCol w:w="1447"/>
        <w:gridCol w:w="1250"/>
      </w:tblGrid>
      <w:tr w:rsidR="007C7892" w:rsidRPr="007C7892" w:rsidTr="007C7892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7C7892" w:rsidRDefault="002E0940" w:rsidP="007C789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7C7892" w:rsidRPr="007C7892" w:rsidTr="007C7892">
        <w:trPr>
          <w:trHeight w:val="50"/>
        </w:trPr>
        <w:tc>
          <w:tcPr>
            <w:tcW w:w="11487" w:type="dxa"/>
            <w:gridSpan w:val="7"/>
            <w:shd w:val="clear" w:color="auto" w:fill="E5DFEC" w:themeFill="accent4" w:themeFillTint="33"/>
            <w:noWrap/>
            <w:vAlign w:val="center"/>
          </w:tcPr>
          <w:p w:rsidR="00A92218" w:rsidRPr="007C7892" w:rsidRDefault="00085C12" w:rsidP="007C7892">
            <w:pPr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Медицинские изделия</w:t>
            </w:r>
            <w:r w:rsidR="007C7892" w:rsidRPr="007C7892">
              <w:rPr>
                <w:rFonts w:cs="Times New Roman"/>
                <w:b/>
                <w:sz w:val="18"/>
                <w:szCs w:val="18"/>
              </w:rPr>
              <w:t xml:space="preserve"> отделения кардиохирургии 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85C12" w:rsidRPr="007C7892" w:rsidRDefault="00085C1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85C12" w:rsidRPr="007C7892" w:rsidRDefault="00085C12" w:rsidP="007C78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Интракоронарные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шунты разных размеров (1,0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mm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- 3,0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mm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085C12" w:rsidRPr="007C7892" w:rsidRDefault="00085C12" w:rsidP="007C78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Интракоронарные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шунты разных размеров (1,0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mm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- 3,0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mm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).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прозрачная.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85C1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</w:t>
            </w:r>
            <w:r w:rsidR="00085C12" w:rsidRPr="007C7892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085C12" w:rsidRPr="007C7892" w:rsidRDefault="00085C1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85C12" w:rsidRPr="007C7892" w:rsidRDefault="00085C1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15 000,00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85C12" w:rsidRPr="007C7892" w:rsidRDefault="00085C1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75 000,00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Гибкое кольцо для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аннулопластики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системы, размер 26, 28, 30, 32, 34, 36 мм. Размеры по заявке Заказчика.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Материал кольца: титановый немагнитный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рентгеноконтрастный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стержень, обернутый силиконом наружное покрытие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плетенный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полиэстер. Наружное покрытие кольца выполнено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из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плетенного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полиэстра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На кольцо нанесены зеленые маркеры ориентации на фиброзные треугольники и маркер оптимального расположения швов. Кольцо имеет передний и задний изгибы. Высота переднего изгиба не более 25%, высота заднего изгиба не более 15 %. Фиксировано на пластиковом держателе. Обеспечивает сохранение естественной систолической формы кольца клапана при подшивании кольца, завязывании швов, проверки компетентности клапана.  Упаковано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стерильным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в двойной асептический пакет. Выпускаются кольца 9 размеров- 24, 26, 28, 30, 32, 34,36, 38,40 мм.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200 000,00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600 000,00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Лоскут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ксеноперикардиальный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для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интракардиальной и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ангиопластики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размером 100*100 (с толщиной 0,3-0,5)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Заплата сердечно-сосудистая, животного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происхождения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,к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сеноперикард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биосовместимостью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ксеноперикардиальная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ткань ближе по свойствам к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нативным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материалам);  эпоксидный консервант, с обеспечением поперечной сшивки коллагена,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биосовместимости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естественной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пластичности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;И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ндивидуальный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контейнер с раствором для хранения(для обеспечения стерильности клапана) с остаточным сроком годности 12 месяцев(Обеспечение сохранности закупленных медицинских изделий при возможном снижении операционной активности), по размерам и толщине заказчика( 0,3-0,5 или 0,7-1,0)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8,00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88 000,00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704 000,00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Фетровая прокладка из ПТФЭ 25 х 150 мм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Фетровая прокладка, изготовленная из политетрафторэтилена (ПТФЭ), мягкая, 25*150 мм Толщина слоя ПТФЭ - 1.6 мм.  Биоинертна, благодаря свойствам ПТФЭ не подвергается резорбции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in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vivo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Предназначена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для механической поддержки швов и равномерного распределения нагрузки на ткани.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lastRenderedPageBreak/>
              <w:t>Тромборезистентность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отсуствие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воспалительной реакции, минимальная тканевая реакция. Поставляются поштучно. Наличие сертификата CE 0373. Срок годности 5 лет. Стерильно, стерилизация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lastRenderedPageBreak/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7,00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65 000,00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455 000,00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Проволока хирургическая стальная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условным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№5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Проволока хирургическая стальная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условным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№5. Нить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нерассасывающаяся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стальная хирургическая стерильная,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монофиламентная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выполнена из хирургической стали.  Метрический размер 7, условный размер 5. Длина нити 45 см. Количество отрезков нити в стерильном внутреннем вкладыше - 4. Каждый отрезок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атравматически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Игла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48 мм длиной. Диаметр тела иглы 1,4478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прямых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атравматически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соединен с иглой.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12 700,00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381 000,00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Проволока хирургическая стальная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условным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№7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Проволока хирургическая стальная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условным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№7. Нить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нерассасывающаяся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стальная хирургическая стерильная,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монофиламентная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выполнена из хирургической стали.  Метрический размер 9, условный размер 7. Длина нити 45 см. Количество отрезков нити в стерильном внутреннем вкладыше - 4. Каждый отрезок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атравматически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обратно-режущая, усиленная, 1/2  окружности, 48 мм длиной. Диаметр тела иглы 1,5494 мм. Игла свободно вращается вокруг своей оси для удобства манипуляций.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</w:t>
            </w:r>
            <w:r w:rsidRPr="007C7892">
              <w:rPr>
                <w:rFonts w:cs="Times New Roman"/>
                <w:sz w:val="18"/>
                <w:szCs w:val="18"/>
              </w:rPr>
              <w:lastRenderedPageBreak/>
              <w:t xml:space="preserve">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прямых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атравматически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соединен с иглой.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lastRenderedPageBreak/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8 490,00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1 698 000,00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Материал хирургический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гемастатический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стерильный костный воск 2,5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Материал хирургический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гемостатический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стерильный костный воск 2,5 гр. Костный воск является стерильным воском, выделенным из пчелиного воска и применяется для механической остановки кровотечения из кости в ходе хирургических манипуляций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н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размятия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. Вес - 2,5 грамм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1 490,00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417 200,00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Клей хирургический биологический, шприц 5 мл. В комплект входит шприц 5 мл с 4-мя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стандартыми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аппликаторами-1 штук Объем по заявке заказчика.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Клей хирургический биологический, шприц 5 мл. В комплект входит шприц 5 мл с 4-мя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стандартыми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аппликаторами-1 штук Объем по заявке заказчика. 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глютеральдегида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В комплект входит шприц 5 мл с 4-мя стандартными аппликаторами – 1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шт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.С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мешивание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апирогенность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259 790,00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3 896 850,00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Клей хирургический биологический, шприц 2 мл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 xml:space="preserve">  В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комплект входит шприц 2 мл с 4-мя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стандартыми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аппликаторами-1 штук Объем по заявке заказчика.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Клей хирургический биологический, шприц 2 мл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 xml:space="preserve">  В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комплект входит шприц 2 мл с 4-мя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стандартыми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аппликаторами-1 штук Объем по заявке заказчика. 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глютеральдегида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В комплект входит шприц 2 мл с 4-мя стандартными аппликаторами – 1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шт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.С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мешивание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апирогенность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184 790,00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3 695 800,00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Интрааортальный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баллонный катетер. Баллонный катетер, устойчивый к </w:t>
            </w:r>
            <w:r w:rsidRPr="007C7892">
              <w:rPr>
                <w:rFonts w:cs="Times New Roman"/>
                <w:sz w:val="18"/>
                <w:szCs w:val="18"/>
              </w:rPr>
              <w:lastRenderedPageBreak/>
              <w:t xml:space="preserve">перегибу, сердечник баллона - оптико-волоконный.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lastRenderedPageBreak/>
              <w:t>Интрааортальный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баллонный катетер. Баллонный катетер, устойчивый к перегибу, сердечник баллона - оптико-волоконный.  Баллонный катетер, устойчивый к перегибу, сердечник баллона - оптико-волоконный, диаметр баллонного катетера не менее 8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 xml:space="preserve">Наличие датчика давления на кончике катетера с частотой </w:t>
            </w:r>
            <w:r w:rsidRPr="007C7892">
              <w:rPr>
                <w:rFonts w:cs="Times New Roman"/>
                <w:sz w:val="18"/>
                <w:szCs w:val="18"/>
              </w:rPr>
              <w:lastRenderedPageBreak/>
              <w:t>10000 Гц, объем баллонов 30 или 40 или 50 мл, длина баллонного катетера: 64,3- 69,3 см. Длина мембраны баллона: 230-260 мм., диаметр мембраны баллона: 13,9-15 мм, абразивно устойчивый материал баллона, центральный просвет баллона не менее: .027”, наличие защитного чехла катетера от контаминации длина:  34 см, наличие переходников газовой линии для других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типов аппаратов для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контрпульсации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 длина: 2,2 м., расположение линии пассажа газа в катетере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ценрально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-осевое. Установочный комплект: Проводники с тефлоновым покрытием: 2 шт., диаметр проводника не менее: 0.25”, шприц  с коннектором типа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Luer-Slip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объем не менее: 60 мл., пункционная игла: 18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Ga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x 6,35 см., армированный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интродъюсер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: 15 </w:t>
            </w:r>
            <w:proofErr w:type="spellStart"/>
            <w:proofErr w:type="gramStart"/>
            <w:r w:rsidRPr="007C7892">
              <w:rPr>
                <w:rFonts w:cs="Times New Roman"/>
                <w:sz w:val="18"/>
                <w:szCs w:val="18"/>
              </w:rPr>
              <w:t>c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м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., стандартный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интродъюсер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: 15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cм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lastRenderedPageBreak/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774 900,00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1 549 800,00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Интрааортальный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баллонный катетер. Сердечник баллона 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кровенаполняемый</w:t>
            </w:r>
            <w:proofErr w:type="spellEnd"/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Интрааортальный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баллонный катетер. Сердечник баллона 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кровенаполняемый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 xml:space="preserve">Сердечник баллона 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кровенаполняемый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диаметр баллонного катетера не менее: 8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объем баллонов: 30 или 40 или 50мл, длина баллонного катетера: 69,3 см, длина мембраны баллона: 260 мм, диаметр мембраны баллона: 15 мм, абразивно устойчивый материал баллона, центральный просвет баллона не менее: 0,027”, защитный чехол катетера от контаминации длиной не менее 34 см, наличие переходников газовой линии для других типов аппаратов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для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контрпульсации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длина: 2,2 м, расположение линии пассажа газа в катетере центрально-осевое. Установочный набор для внутриаортального баллона  8Fr: Проводники: с  тефлоновым покрытием, не менее 2 </w:t>
            </w:r>
            <w:proofErr w:type="spellStart"/>
            <w:proofErr w:type="gramStart"/>
            <w:r w:rsidRPr="007C7892">
              <w:rPr>
                <w:rFonts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, диаметр проводника:  не менее 0,025”, Шприц с коннектором типа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Luer-Slip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объем не менее 60 мл, пункционная игла:  18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Ga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x 6,35 см,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Интродъюсеры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: армированный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интродъюсер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длина не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меннее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15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cм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- 1 шт. Стандартный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интродъюсер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длина не менее 15 см.,- 1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986 900,00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986 900,00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Сосудистый протез тканый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полиэстеровый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 импрегнацией коллагеном.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Сосудистый протез тканый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полиэстеровый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 импрегнацией коллагеном. Тканая структура материала основывается на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горизонтальноидущих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нитях над и под основной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вертикальноидущей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линией нитей. Материал устойчивый к долговременной нагрузке на растяжение. Уровень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порозности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менее 5 мл/мин/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.с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м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при давлении 120 мм рт. ст. Отсутствие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разволокнения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стенки при рассечении. Обеспечение плавного кровотока и ламинарный поток от протеза к сосуду. Внутренний диаметр (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мм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): 28, 30, 32; длина (см): 30. Разработаны для восстановительных операций замены дуги и грудного отдела аорты.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7,00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311 800,00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2 182 600,00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Клипсы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Клипсы для фиксации хирургических нитей. Предназначены для скрепления и обрезания лишних концов лигатуры, заменяют завязанные вручную узлы в процессе кардиохирургических и общехирургических операций. Фиксация происходит за счет деформации клипсы с помощью специального аппликатора. Разрывная нагрузка зафиксированных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клипсой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нитей не менее: 28.34 Н (в соответствии с технической документацией). Клипса поставляется в держателе, который состоит из крючка, проволочной петли и ручки, между крючком и ручкой на проволоку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надета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клипса. Клипса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изготовлена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из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апирогенного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титана. До деформации клипса представляет собой полый цилиндр с расширенным основанием, радиусом 2 мм (± 5%), высотой 3,5 мм (± 5%), масса клипсы 45 мкг (± 5%).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Поставляется стерильной, всего 12 штук в картонной коробке.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Изделие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апирогенно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нетоксично.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425 550,00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1 276 650,00</w:t>
            </w:r>
          </w:p>
        </w:tc>
      </w:tr>
      <w:tr w:rsidR="007C7892" w:rsidRPr="007C7892" w:rsidTr="007C7892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Аппликатор клипс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Аппликатор для скрепления и обрезания лишних концов лигатуры в процессе кардиохирургических и общехирургических операций при помощи титановых клипс. Каждая стерильная упаковка содержит два одноразовых аппликатора для применения на одном пациенте. Диаметр стержня аппликатора 5мм, длина </w:t>
            </w:r>
            <w:r w:rsidRPr="007C7892">
              <w:rPr>
                <w:rFonts w:cs="Times New Roman"/>
                <w:sz w:val="18"/>
                <w:szCs w:val="18"/>
              </w:rPr>
              <w:lastRenderedPageBreak/>
              <w:t xml:space="preserve">31см, изготовлен из нержавеющей стали. На дистальном конце стержня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аппликатора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на расстоянии 4мм расположено отверстие диаметром 3мм для загрузки титановых клипс. Ручка белого цвета и рычаг фиолетового цвета расположены на проксимальном конце аппликатора. Изделие требуется использовать с полиэфирными хирургическими нитями размера М 3 (номер USP 2/0 в соответствии с Фармакопеей США), в комплект изделия не входят. Изделие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апирогенно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нетоксично.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7C7892">
              <w:rPr>
                <w:rFonts w:cs="Times New Roman"/>
                <w:sz w:val="18"/>
                <w:szCs w:val="18"/>
              </w:rPr>
              <w:lastRenderedPageBreak/>
              <w:t>Дана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 / 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698 800,00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7C7892" w:rsidRPr="007C7892" w:rsidRDefault="007C7892" w:rsidP="007C7892">
            <w:pPr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>2 096 400,00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7C7892" w:rsidTr="00CB0271">
        <w:tc>
          <w:tcPr>
            <w:tcW w:w="4927" w:type="dxa"/>
          </w:tcPr>
          <w:p w:rsidR="0091217A" w:rsidRPr="007C7892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7C7892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7C7892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r w:rsidR="007C7892" w:rsidRPr="007C7892">
              <w:rPr>
                <w:rFonts w:cs="Times New Roman"/>
                <w:sz w:val="18"/>
                <w:szCs w:val="18"/>
              </w:rPr>
              <w:t>20 015 200,00 (</w:t>
            </w:r>
            <w:proofErr w:type="spellStart"/>
            <w:r w:rsidR="007C7892" w:rsidRPr="007C7892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7C7892" w:rsidRPr="007C7892">
              <w:rPr>
                <w:rFonts w:cs="Times New Roman"/>
                <w:sz w:val="18"/>
                <w:szCs w:val="18"/>
              </w:rPr>
              <w:t xml:space="preserve"> миллион он бес </w:t>
            </w:r>
            <w:proofErr w:type="spellStart"/>
            <w:r w:rsidR="007C7892" w:rsidRPr="007C7892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7C7892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C7892" w:rsidRPr="007C7892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7C7892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C7892" w:rsidRPr="007C789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B73625" w:rsidRPr="007C7892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7C7892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7C7892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7C7892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7C7892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>:</w:t>
            </w:r>
            <w:r w:rsidRPr="007C7892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7C7892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қабыл</w:t>
            </w:r>
            <w:bookmarkStart w:id="0" w:name="_GoBack"/>
            <w:bookmarkEnd w:id="0"/>
            <w:r w:rsidRPr="007C7892">
              <w:rPr>
                <w:rFonts w:cs="Times New Roman"/>
                <w:b/>
                <w:sz w:val="18"/>
                <w:szCs w:val="18"/>
              </w:rPr>
              <w:t>дау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7C7892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r w:rsidR="00C17301">
              <w:rPr>
                <w:rFonts w:cs="Times New Roman"/>
                <w:sz w:val="18"/>
                <w:szCs w:val="18"/>
                <w:lang w:val="kk-KZ"/>
              </w:rPr>
              <w:t>24</w:t>
            </w:r>
            <w:r w:rsidR="007A01F1" w:rsidRPr="007C7892">
              <w:rPr>
                <w:rFonts w:cs="Times New Roman"/>
                <w:sz w:val="18"/>
                <w:szCs w:val="18"/>
              </w:rPr>
              <w:t>.</w:t>
            </w:r>
            <w:r w:rsidR="000155AC" w:rsidRPr="007C7892">
              <w:rPr>
                <w:rFonts w:cs="Times New Roman"/>
                <w:sz w:val="18"/>
                <w:szCs w:val="18"/>
              </w:rPr>
              <w:t>0</w:t>
            </w:r>
            <w:r w:rsidR="00256BDF" w:rsidRPr="007C7892">
              <w:rPr>
                <w:rFonts w:cs="Times New Roman"/>
                <w:sz w:val="18"/>
                <w:szCs w:val="18"/>
              </w:rPr>
              <w:t>1</w:t>
            </w:r>
            <w:r w:rsidR="007A01F1" w:rsidRPr="007C7892">
              <w:rPr>
                <w:rFonts w:cs="Times New Roman"/>
                <w:sz w:val="18"/>
                <w:szCs w:val="18"/>
              </w:rPr>
              <w:t>.202</w:t>
            </w:r>
            <w:r w:rsidR="000155AC" w:rsidRPr="007C7892">
              <w:rPr>
                <w:rFonts w:cs="Times New Roman"/>
                <w:sz w:val="18"/>
                <w:szCs w:val="18"/>
              </w:rPr>
              <w:t>4</w:t>
            </w:r>
            <w:r w:rsidR="00A33AE9" w:rsidRPr="007C7892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7C7892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7C7892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7C7892">
              <w:rPr>
                <w:rFonts w:cs="Times New Roman"/>
                <w:sz w:val="18"/>
                <w:szCs w:val="18"/>
              </w:rPr>
              <w:t>09</w:t>
            </w:r>
            <w:r w:rsidR="00A33AE9" w:rsidRPr="007C7892">
              <w:rPr>
                <w:rFonts w:cs="Times New Roman"/>
                <w:sz w:val="18"/>
                <w:szCs w:val="18"/>
              </w:rPr>
              <w:t>: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7C7892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7C7892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r w:rsidR="00C17301">
              <w:rPr>
                <w:rFonts w:cs="Times New Roman"/>
                <w:sz w:val="18"/>
                <w:szCs w:val="18"/>
                <w:lang w:val="kk-KZ"/>
              </w:rPr>
              <w:t>24</w:t>
            </w:r>
            <w:r w:rsidR="007A01F1" w:rsidRPr="007C7892">
              <w:rPr>
                <w:rFonts w:cs="Times New Roman"/>
                <w:sz w:val="18"/>
                <w:szCs w:val="18"/>
              </w:rPr>
              <w:t>.</w:t>
            </w:r>
            <w:r w:rsidR="000155AC" w:rsidRPr="007C7892">
              <w:rPr>
                <w:rFonts w:cs="Times New Roman"/>
                <w:sz w:val="18"/>
                <w:szCs w:val="18"/>
              </w:rPr>
              <w:t>0</w:t>
            </w:r>
            <w:r w:rsidR="00256BDF" w:rsidRPr="007C7892">
              <w:rPr>
                <w:rFonts w:cs="Times New Roman"/>
                <w:sz w:val="18"/>
                <w:szCs w:val="18"/>
              </w:rPr>
              <w:t>1</w:t>
            </w:r>
            <w:r w:rsidR="007A01F1" w:rsidRPr="007C7892">
              <w:rPr>
                <w:rFonts w:cs="Times New Roman"/>
                <w:sz w:val="18"/>
                <w:szCs w:val="18"/>
              </w:rPr>
              <w:t>.202</w:t>
            </w:r>
            <w:r w:rsidR="000155AC" w:rsidRPr="007C7892">
              <w:rPr>
                <w:rFonts w:cs="Times New Roman"/>
                <w:sz w:val="18"/>
                <w:szCs w:val="18"/>
              </w:rPr>
              <w:t>4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7C7892">
              <w:rPr>
                <w:rFonts w:cs="Times New Roman"/>
                <w:sz w:val="18"/>
                <w:szCs w:val="18"/>
              </w:rPr>
              <w:t>10</w:t>
            </w:r>
            <w:r w:rsidR="007A01F1" w:rsidRPr="007C7892">
              <w:rPr>
                <w:rFonts w:cs="Times New Roman"/>
                <w:sz w:val="18"/>
                <w:szCs w:val="18"/>
              </w:rPr>
              <w:t>:</w:t>
            </w:r>
            <w:r w:rsidR="00C17301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7C7892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7C7892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7C789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556F2B" w:rsidRPr="007C7892" w:rsidRDefault="00556F2B" w:rsidP="00556F2B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Мәміле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жасау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кезінде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тендерлік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құжаттамада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қолды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факсимильді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көшіру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құралдарын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пайдалану</w:t>
            </w:r>
            <w:proofErr w:type="gram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ға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жол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берілмейді</w:t>
            </w:r>
            <w:proofErr w:type="spellEnd"/>
            <w:r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AF229F" w:rsidRPr="007C7892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ұсынудың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соңғы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мерзімі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аяқталғанға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дейін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мөрленген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түрде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ғана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7C7892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7C789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7C7892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7C7892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256BDF" w:rsidRPr="007C7892" w:rsidRDefault="00AF229F" w:rsidP="00E5226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ұйымдастырушы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7A01F1" w:rsidRPr="007C7892" w:rsidRDefault="00256BD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7C7892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7C7892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келмеген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7C7892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7C789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7C7892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7C7892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7C7892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r w:rsidR="007C7892" w:rsidRPr="007C7892">
              <w:rPr>
                <w:rFonts w:cs="Times New Roman"/>
                <w:sz w:val="18"/>
                <w:szCs w:val="18"/>
              </w:rPr>
              <w:t>20 015 200</w:t>
            </w:r>
            <w:r w:rsidR="0081504C" w:rsidRPr="007C7892">
              <w:rPr>
                <w:rFonts w:cs="Times New Roman"/>
                <w:sz w:val="18"/>
                <w:szCs w:val="18"/>
              </w:rPr>
              <w:t>,0</w:t>
            </w:r>
            <w:r w:rsidR="001B55DA" w:rsidRPr="007C7892">
              <w:rPr>
                <w:rFonts w:cs="Times New Roman"/>
                <w:sz w:val="18"/>
                <w:szCs w:val="18"/>
              </w:rPr>
              <w:t xml:space="preserve">0 </w:t>
            </w:r>
            <w:r w:rsidRPr="007C7892">
              <w:rPr>
                <w:rFonts w:cs="Times New Roman"/>
                <w:sz w:val="18"/>
                <w:szCs w:val="18"/>
              </w:rPr>
              <w:t>(</w:t>
            </w:r>
            <w:r w:rsidR="007C7892" w:rsidRPr="007C7892">
              <w:rPr>
                <w:rFonts w:cs="Times New Roman"/>
                <w:sz w:val="18"/>
                <w:szCs w:val="18"/>
              </w:rPr>
              <w:t>двадцать миллионов пятнадцать тысяч двести</w:t>
            </w:r>
            <w:r w:rsidRPr="007C7892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7C7892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7C7892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7C7892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7C7892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7C7892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7C7892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7C7892">
              <w:rPr>
                <w:b/>
                <w:sz w:val="18"/>
                <w:szCs w:val="18"/>
              </w:rPr>
              <w:t xml:space="preserve"> </w:t>
            </w:r>
            <w:r w:rsidRPr="007C7892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7C7892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7C789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7C7892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7C7892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7C7892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C17301">
              <w:rPr>
                <w:rFonts w:cs="Times New Roman"/>
                <w:sz w:val="18"/>
                <w:szCs w:val="18"/>
                <w:lang w:val="kk-KZ"/>
              </w:rPr>
              <w:t>24</w:t>
            </w:r>
            <w:r w:rsidR="007A01F1" w:rsidRPr="007C7892">
              <w:rPr>
                <w:rFonts w:cs="Times New Roman"/>
                <w:sz w:val="18"/>
                <w:szCs w:val="18"/>
              </w:rPr>
              <w:t>.</w:t>
            </w:r>
            <w:r w:rsidR="000155AC" w:rsidRPr="007C7892">
              <w:rPr>
                <w:rFonts w:cs="Times New Roman"/>
                <w:sz w:val="18"/>
                <w:szCs w:val="18"/>
              </w:rPr>
              <w:t>0</w:t>
            </w:r>
            <w:r w:rsidR="00256BDF" w:rsidRPr="007C7892">
              <w:rPr>
                <w:rFonts w:cs="Times New Roman"/>
                <w:sz w:val="18"/>
                <w:szCs w:val="18"/>
              </w:rPr>
              <w:t>1</w:t>
            </w:r>
            <w:r w:rsidR="007A01F1" w:rsidRPr="007C7892">
              <w:rPr>
                <w:rFonts w:cs="Times New Roman"/>
                <w:sz w:val="18"/>
                <w:szCs w:val="18"/>
              </w:rPr>
              <w:t>.202</w:t>
            </w:r>
            <w:r w:rsidR="000155AC" w:rsidRPr="007C7892">
              <w:rPr>
                <w:rFonts w:cs="Times New Roman"/>
                <w:sz w:val="18"/>
                <w:szCs w:val="18"/>
              </w:rPr>
              <w:t>4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7C7892">
              <w:rPr>
                <w:rFonts w:cs="Times New Roman"/>
                <w:sz w:val="18"/>
                <w:szCs w:val="18"/>
              </w:rPr>
              <w:t>09</w:t>
            </w:r>
            <w:r w:rsidR="007A01F1" w:rsidRPr="007C7892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7C7892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7C7892">
              <w:rPr>
                <w:color w:val="000000"/>
                <w:sz w:val="18"/>
                <w:szCs w:val="18"/>
              </w:rPr>
              <w:t xml:space="preserve"> </w:t>
            </w:r>
            <w:r w:rsidRPr="007C7892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7C7892">
              <w:rPr>
                <w:rFonts w:cs="Times New Roman"/>
                <w:sz w:val="18"/>
                <w:szCs w:val="18"/>
              </w:rPr>
              <w:t xml:space="preserve">: дата </w:t>
            </w:r>
            <w:r w:rsidR="00C17301">
              <w:rPr>
                <w:rFonts w:cs="Times New Roman"/>
                <w:sz w:val="18"/>
                <w:szCs w:val="18"/>
                <w:lang w:val="kk-KZ"/>
              </w:rPr>
              <w:t>24</w:t>
            </w:r>
            <w:r w:rsidRPr="007C7892">
              <w:rPr>
                <w:rFonts w:cs="Times New Roman"/>
                <w:sz w:val="18"/>
                <w:szCs w:val="18"/>
              </w:rPr>
              <w:t>.</w:t>
            </w:r>
            <w:r w:rsidR="000155AC" w:rsidRPr="007C7892">
              <w:rPr>
                <w:rFonts w:cs="Times New Roman"/>
                <w:sz w:val="18"/>
                <w:szCs w:val="18"/>
              </w:rPr>
              <w:t>01</w:t>
            </w:r>
            <w:r w:rsidRPr="007C7892">
              <w:rPr>
                <w:rFonts w:cs="Times New Roman"/>
                <w:sz w:val="18"/>
                <w:szCs w:val="18"/>
              </w:rPr>
              <w:t>.202</w:t>
            </w:r>
            <w:r w:rsidR="000155AC" w:rsidRPr="007C7892">
              <w:rPr>
                <w:rFonts w:cs="Times New Roman"/>
                <w:sz w:val="18"/>
                <w:szCs w:val="18"/>
              </w:rPr>
              <w:t>4</w:t>
            </w:r>
            <w:r w:rsidRPr="007C7892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7C7892">
              <w:rPr>
                <w:rFonts w:cs="Times New Roman"/>
                <w:sz w:val="18"/>
                <w:szCs w:val="18"/>
              </w:rPr>
              <w:t>10</w:t>
            </w:r>
            <w:r w:rsidRPr="007C7892">
              <w:rPr>
                <w:rFonts w:cs="Times New Roman"/>
                <w:sz w:val="18"/>
                <w:szCs w:val="18"/>
              </w:rPr>
              <w:t>:</w:t>
            </w:r>
            <w:r w:rsidR="00C17301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7C7892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7C7892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7C7892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7C7892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7C7892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7C7892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7C7892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7C7892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7C7892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7C7892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7C7892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7C7892">
              <w:rPr>
                <w:color w:val="000000"/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7C7892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7C789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7C7892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7C7892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7C7892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7C7892">
              <w:rPr>
                <w:rFonts w:cs="Times New Roman"/>
                <w:sz w:val="18"/>
                <w:szCs w:val="18"/>
              </w:rPr>
              <w:t xml:space="preserve">.    </w:t>
            </w:r>
            <w:r w:rsidRPr="007C7892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7C7892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7C7892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7C7892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7C7892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7C7892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7C7892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7C7892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7C7892">
              <w:rPr>
                <w:sz w:val="18"/>
                <w:szCs w:val="18"/>
              </w:rPr>
              <w:t xml:space="preserve">один потенциальный поставщик, ценовое предложение и документы которого представлены в соответствии с пунктом 80 настоящих Правил, </w:t>
            </w:r>
            <w:r w:rsidR="008C2B56" w:rsidRPr="007C7892">
              <w:rPr>
                <w:sz w:val="18"/>
                <w:szCs w:val="18"/>
              </w:rPr>
              <w:lastRenderedPageBreak/>
              <w:t>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7C7892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C7892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7C7892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7C7892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7C7892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7C7892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7C7892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7C7892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7C7892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7C7892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7C7892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7C7892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7C7892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7C7892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7C7892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7C7892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7C7892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7C7892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7C7892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7C7892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7C7892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7C7892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7C7892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7C7892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7C7892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7C7892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7C7892">
              <w:rPr>
                <w:sz w:val="18"/>
                <w:szCs w:val="18"/>
              </w:rPr>
              <w:t xml:space="preserve">несоответствии </w:t>
            </w:r>
            <w:r w:rsidR="00AF229F" w:rsidRPr="007C7892">
              <w:rPr>
                <w:color w:val="000000"/>
                <w:sz w:val="18"/>
                <w:szCs w:val="18"/>
              </w:rPr>
              <w:t>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7C789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7C7892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7C7892">
              <w:rPr>
                <w:rFonts w:cs="Times New Roman"/>
                <w:sz w:val="18"/>
                <w:szCs w:val="18"/>
              </w:rPr>
              <w:t>рабочих</w:t>
            </w:r>
            <w:r w:rsidRPr="007C7892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7C7892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7C7892">
              <w:rPr>
                <w:color w:val="000000"/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7C7892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7C789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7C7892" w:rsidTr="00F65F58">
        <w:tc>
          <w:tcPr>
            <w:tcW w:w="3085" w:type="dxa"/>
            <w:vAlign w:val="center"/>
          </w:tcPr>
          <w:p w:rsidR="007A01F1" w:rsidRPr="007C7892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7C7892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C7892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C7892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7C7892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7C78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7C7892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7892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7C7892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7C7892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7C7892" w:rsidRDefault="0080080F" w:rsidP="0048597F">
      <w:pPr>
        <w:rPr>
          <w:rFonts w:cs="Times New Roman"/>
          <w:sz w:val="16"/>
          <w:szCs w:val="16"/>
        </w:rPr>
      </w:pPr>
      <w:r w:rsidRPr="007C7892">
        <w:rPr>
          <w:rFonts w:cs="Times New Roman"/>
          <w:i/>
          <w:sz w:val="16"/>
          <w:szCs w:val="16"/>
        </w:rPr>
        <w:t>8-727-278-04-44</w:t>
      </w:r>
    </w:p>
    <w:sectPr w:rsidR="0086053E" w:rsidRPr="007C789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02B4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8524-1458-4C7F-B0A2-FF32B7A4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6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284</cp:revision>
  <cp:lastPrinted>2024-01-17T05:26:00Z</cp:lastPrinted>
  <dcterms:created xsi:type="dcterms:W3CDTF">2019-01-15T05:22:00Z</dcterms:created>
  <dcterms:modified xsi:type="dcterms:W3CDTF">2024-01-17T05:27:00Z</dcterms:modified>
</cp:coreProperties>
</file>