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1B069C" w:rsidTr="00A83B0A">
        <w:trPr>
          <w:trHeight w:val="5320"/>
        </w:trPr>
        <w:tc>
          <w:tcPr>
            <w:tcW w:w="4992" w:type="dxa"/>
          </w:tcPr>
          <w:p w:rsidR="007A01F1" w:rsidRPr="001B069C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1B069C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1B069C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69C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1B069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1B069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DD18F7">
              <w:rPr>
                <w:rFonts w:ascii="Times New Roman" w:hAnsi="Times New Roman"/>
                <w:sz w:val="18"/>
                <w:szCs w:val="18"/>
                <w:lang w:val="kk-KZ"/>
              </w:rPr>
              <w:t>31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1B069C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1B069C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1B069C">
              <w:rPr>
                <w:rFonts w:ascii="Times New Roman" w:hAnsi="Times New Roman"/>
                <w:sz w:val="18"/>
                <w:szCs w:val="18"/>
              </w:rPr>
              <w:t>4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1B069C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1B069C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1B069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1B06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1B069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1B06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1B069C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069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1B069C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1B069C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1B069C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1B069C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1B069C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1B069C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1B069C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069C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1B069C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1B069C">
              <w:rPr>
                <w:rFonts w:cs="Times New Roman"/>
                <w:sz w:val="18"/>
                <w:szCs w:val="18"/>
              </w:rPr>
              <w:t xml:space="preserve">     «</w:t>
            </w:r>
            <w:r w:rsidR="00DD18F7">
              <w:rPr>
                <w:rFonts w:cs="Times New Roman"/>
                <w:sz w:val="18"/>
                <w:szCs w:val="18"/>
                <w:lang w:val="kk-KZ"/>
              </w:rPr>
              <w:t>31</w:t>
            </w:r>
            <w:r w:rsidRPr="001B069C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1B069C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1B069C">
              <w:rPr>
                <w:rFonts w:cs="Times New Roman"/>
                <w:sz w:val="18"/>
                <w:szCs w:val="18"/>
              </w:rPr>
              <w:t>202</w:t>
            </w:r>
            <w:r w:rsidR="00BE0D7F" w:rsidRPr="001B069C">
              <w:rPr>
                <w:rFonts w:cs="Times New Roman"/>
                <w:sz w:val="18"/>
                <w:szCs w:val="18"/>
              </w:rPr>
              <w:t>4</w:t>
            </w:r>
            <w:r w:rsidRPr="001B069C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1B069C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1B069C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1B069C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1B069C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1B069C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1B069C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1B069C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1B069C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1B069C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1B069C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004B83" w:rsidRPr="001B069C" w:rsidRDefault="00004B83" w:rsidP="0048597F">
      <w:pPr>
        <w:jc w:val="both"/>
        <w:rPr>
          <w:rStyle w:val="a5"/>
          <w:rFonts w:eastAsiaTheme="minorHAnsi" w:cs="Times New Roman"/>
          <w:color w:val="auto"/>
          <w:kern w:val="0"/>
          <w:lang w:eastAsia="en-US"/>
        </w:rPr>
      </w:pPr>
    </w:p>
    <w:tbl>
      <w:tblPr>
        <w:tblW w:w="11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153"/>
        <w:gridCol w:w="1509"/>
        <w:gridCol w:w="1185"/>
        <w:gridCol w:w="1444"/>
        <w:gridCol w:w="1343"/>
      </w:tblGrid>
      <w:tr w:rsidR="00A914AB" w:rsidRPr="00E50A12" w:rsidTr="00E50A12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r w:rsidRPr="00E50A1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r w:rsidRPr="00E50A1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5153" w:type="dxa"/>
            <w:vAlign w:val="center"/>
          </w:tcPr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E50A12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E50A1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E50A1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E50A1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E50A1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r w:rsidRPr="00E50A12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r w:rsidRPr="00E50A1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E50A1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E50A1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E50A1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E50A1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A914AB" w:rsidRPr="00E50A12" w:rsidRDefault="00A914AB" w:rsidP="00E50A1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50A1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E50A1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E50A1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E50A1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E50A12" w:rsidRPr="00E50A12" w:rsidTr="00E50A12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 xml:space="preserve">Оптика жесткая со стеклянными линзами, для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уретеро-реноскопии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6°,  9,5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коническая, ступенчатая - 9.5-12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., длина 43 </w:t>
            </w:r>
            <w:proofErr w:type="spellStart"/>
            <w:proofErr w:type="gramStart"/>
            <w:r w:rsidRPr="00E50A12">
              <w:rPr>
                <w:rFonts w:cs="Times New Roman"/>
                <w:sz w:val="18"/>
                <w:szCs w:val="18"/>
              </w:rPr>
              <w:t>c</w:t>
            </w:r>
            <w:proofErr w:type="gramEnd"/>
            <w:r w:rsidRPr="00E50A12">
              <w:rPr>
                <w:rFonts w:cs="Times New Roman"/>
                <w:sz w:val="18"/>
                <w:szCs w:val="18"/>
              </w:rPr>
              <w:t>м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автоклавируемая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с расположенным под углом окуляром, со встроенным стекловолоконным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световодом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двумя боковыми каналами для промывания и одним рабочим каналом 6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. для инструментов размером 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 В комплект поставки входят:</w:t>
            </w:r>
            <w:r w:rsidRPr="00E50A12">
              <w:rPr>
                <w:rFonts w:cs="Times New Roman"/>
                <w:sz w:val="18"/>
                <w:szCs w:val="18"/>
              </w:rPr>
              <w:br/>
              <w:t xml:space="preserve"> -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уретеро-реноскопии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6°,  9,5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коническая, ступенчатая - 9.5-12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., длина 43 </w:t>
            </w:r>
            <w:proofErr w:type="spellStart"/>
            <w:proofErr w:type="gramStart"/>
            <w:r w:rsidRPr="00E50A12">
              <w:rPr>
                <w:rFonts w:cs="Times New Roman"/>
                <w:sz w:val="18"/>
                <w:szCs w:val="18"/>
              </w:rPr>
              <w:t>c</w:t>
            </w:r>
            <w:proofErr w:type="gramEnd"/>
            <w:r w:rsidRPr="00E50A12">
              <w:rPr>
                <w:rFonts w:cs="Times New Roman"/>
                <w:sz w:val="18"/>
                <w:szCs w:val="18"/>
              </w:rPr>
              <w:t>м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br/>
              <w:t xml:space="preserve"> - проводник струны </w:t>
            </w:r>
            <w:r w:rsidRPr="00E50A12">
              <w:rPr>
                <w:rFonts w:cs="Times New Roman"/>
                <w:sz w:val="18"/>
                <w:szCs w:val="18"/>
              </w:rPr>
              <w:br/>
              <w:t xml:space="preserve"> - 1-канальный адаптер</w:t>
            </w:r>
            <w:r w:rsidRPr="00E50A12">
              <w:rPr>
                <w:rFonts w:cs="Times New Roman"/>
                <w:sz w:val="18"/>
                <w:szCs w:val="18"/>
              </w:rPr>
              <w:br/>
              <w:t xml:space="preserve"> - соединители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Luer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br/>
              <w:t xml:space="preserve"> - уплотнители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лдя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рабочего канала</w:t>
            </w:r>
            <w:r w:rsidRPr="00E50A12">
              <w:rPr>
                <w:rFonts w:cs="Times New Roman"/>
                <w:sz w:val="18"/>
                <w:szCs w:val="18"/>
              </w:rPr>
              <w:br/>
              <w:t xml:space="preserve"> - кран точного дозирования ирригации</w:t>
            </w:r>
            <w:r w:rsidRPr="00E50A12">
              <w:rPr>
                <w:rFonts w:cs="Times New Roman"/>
                <w:sz w:val="18"/>
                <w:szCs w:val="18"/>
              </w:rPr>
              <w:br/>
              <w:t>- корзина-решето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746DEC" w:rsidP="00E50A1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2 873 640,00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2 873 640,00</w:t>
            </w:r>
          </w:p>
        </w:tc>
      </w:tr>
      <w:tr w:rsidR="00E50A12" w:rsidRPr="00E50A12" w:rsidTr="00E50A12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Щипцы, захватывающие для фрагментов камней, с 2-мя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размер 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  <w:lang w:val="kk-KZ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493 020,00</w:t>
            </w:r>
          </w:p>
        </w:tc>
      </w:tr>
      <w:tr w:rsidR="00E50A12" w:rsidRPr="00E50A12" w:rsidTr="00E50A12">
        <w:trPr>
          <w:trHeight w:val="1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Щипцы, захватывающие,  для больших камней и фрагментов, с 2-мя 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493 020,00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50A12">
              <w:rPr>
                <w:rFonts w:cs="Times New Roman"/>
                <w:sz w:val="18"/>
                <w:szCs w:val="18"/>
              </w:rPr>
              <w:t>Выкусыватель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биопсийный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с 2-мя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жесткий,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Щипцы, захватывающие по PEREZ-CASTRO, с длинными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 для "каменной дорожки", с 2-мя 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493 020,00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 xml:space="preserve">Ножницы, уретральные с одним подвижным лезвием, режущие вверх, 5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 xml:space="preserve">Оптика жесткая со стеклянными линзами, для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уретеро-реноскопии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, 7</w:t>
            </w: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 Ф</w:t>
            </w:r>
            <w:proofErr w:type="gramEnd"/>
            <w:r w:rsidRPr="00E50A12">
              <w:rPr>
                <w:rFonts w:cs="Times New Roman"/>
                <w:sz w:val="18"/>
                <w:szCs w:val="18"/>
              </w:rPr>
              <w:t xml:space="preserve">р.. 6°, 43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cm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одноступенчатая, 9,9 Фр., с угловым окуляром, со встроенным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опто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-волоконным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световодом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с 2-мя ирригационными портами и 1-м инструментальным каналом 4,8 Фр., для инструментов 4 Фр., В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комлект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поставки входит: 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Уретероскоп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 Вспомогательный инструмент для введения струны  Инструментальный порт с уплотнением и быстроразъемным замком  </w:t>
            </w:r>
            <w:proofErr w:type="gramStart"/>
            <w:r w:rsidRPr="00E50A12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E50A12">
              <w:rPr>
                <w:rFonts w:cs="Times New Roman"/>
                <w:sz w:val="18"/>
                <w:szCs w:val="18"/>
              </w:rPr>
              <w:t>оннектор, папа -коннектор с краном  Уплотнители,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E50A12">
              <w:rPr>
                <w:rFonts w:cs="Times New Roman"/>
                <w:sz w:val="18"/>
                <w:szCs w:val="18"/>
              </w:rPr>
              <w:t>упаковка 10 штук  кран точной регулировки потока 3 Проволочная корзина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746DEC" w:rsidP="00E50A1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2 873 640,00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2 873 640,00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Щипцы, захватывающие для фрагментов камней, с 2-мя 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размер 4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493 020,00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Щипцы, захватывающие для больших камней и фрагментов, с 2-мя 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4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493 020,00</w:t>
            </w:r>
          </w:p>
        </w:tc>
      </w:tr>
      <w:tr w:rsidR="00E50A12" w:rsidRPr="00E50A12" w:rsidTr="00E50A12">
        <w:trPr>
          <w:trHeight w:val="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10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E50A12">
              <w:rPr>
                <w:rFonts w:cs="Times New Roman"/>
                <w:sz w:val="18"/>
                <w:szCs w:val="18"/>
              </w:rPr>
              <w:t>Выкусыватель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биопсийный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с 2-мя 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4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</w:tr>
      <w:tr w:rsidR="00E50A12" w:rsidRPr="00E50A12" w:rsidTr="00E50A12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11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E50A12">
              <w:rPr>
                <w:rFonts w:cs="Times New Roman"/>
                <w:sz w:val="18"/>
                <w:szCs w:val="18"/>
              </w:rPr>
              <w:t xml:space="preserve">Щипцы, по PEREZ-CASTRO, с большими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для "каменной дорожки", с 2-мя  подвижными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4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</w:t>
            </w:r>
            <w:proofErr w:type="gramEnd"/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493 020,00</w:t>
            </w:r>
          </w:p>
        </w:tc>
      </w:tr>
      <w:tr w:rsidR="00E50A12" w:rsidRPr="00E50A12" w:rsidTr="00E50A12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 xml:space="preserve">Ножницы, для мочеточника, жесткие, с одной подвижной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браншей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режущие вверх, 4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., жесткие, длина 60 см.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246 510,00</w:t>
            </w:r>
          </w:p>
        </w:tc>
      </w:tr>
      <w:tr w:rsidR="00E50A12" w:rsidRPr="00E50A12" w:rsidTr="00E50A12">
        <w:trPr>
          <w:trHeight w:val="3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:rsidR="00E50A12" w:rsidRPr="00E50A12" w:rsidRDefault="00E50A12" w:rsidP="00E50A1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50A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5153" w:type="dxa"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 xml:space="preserve">Оптика жесткая со стеклянными линзами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Hopkins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 переднебокового видения 30°, крупноформатная, диаметр 4 мм, длина 30 см,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автоклавируемая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 xml:space="preserve">, </w:t>
            </w:r>
            <w:proofErr w:type="gramStart"/>
            <w:r w:rsidRPr="00E50A12">
              <w:rPr>
                <w:rFonts w:cs="Times New Roman"/>
                <w:sz w:val="18"/>
                <w:szCs w:val="18"/>
              </w:rPr>
              <w:t>со</w:t>
            </w:r>
            <w:proofErr w:type="gramEnd"/>
            <w:r w:rsidRPr="00E50A12">
              <w:rPr>
                <w:rFonts w:cs="Times New Roman"/>
                <w:sz w:val="18"/>
                <w:szCs w:val="18"/>
              </w:rPr>
              <w:t xml:space="preserve"> встроенным стекловолоконным </w:t>
            </w:r>
            <w:proofErr w:type="spellStart"/>
            <w:r w:rsidRPr="00E50A12">
              <w:rPr>
                <w:rFonts w:cs="Times New Roman"/>
                <w:sz w:val="18"/>
                <w:szCs w:val="18"/>
              </w:rPr>
              <w:t>световодом</w:t>
            </w:r>
            <w:proofErr w:type="spellEnd"/>
            <w:r w:rsidRPr="00E50A12">
              <w:rPr>
                <w:rFonts w:cs="Times New Roman"/>
                <w:sz w:val="18"/>
                <w:szCs w:val="18"/>
              </w:rPr>
              <w:t>. Цветовой код: красный.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1 730 190,00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E50A12" w:rsidRPr="00E50A12" w:rsidRDefault="00E50A12" w:rsidP="00E50A12">
            <w:pPr>
              <w:rPr>
                <w:rFonts w:cs="Times New Roman"/>
                <w:sz w:val="18"/>
                <w:szCs w:val="18"/>
              </w:rPr>
            </w:pPr>
            <w:r w:rsidRPr="00E50A12">
              <w:rPr>
                <w:rFonts w:cs="Times New Roman"/>
                <w:sz w:val="18"/>
                <w:szCs w:val="18"/>
              </w:rPr>
              <w:t>1 730 190,00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1B069C" w:rsidTr="00A83B0A">
        <w:tc>
          <w:tcPr>
            <w:tcW w:w="4927" w:type="dxa"/>
          </w:tcPr>
          <w:p w:rsidR="0091217A" w:rsidRPr="001B069C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1B069C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069C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746DEC" w:rsidRPr="00746DEC">
              <w:rPr>
                <w:rFonts w:cs="Times New Roman"/>
                <w:sz w:val="18"/>
                <w:szCs w:val="18"/>
              </w:rPr>
              <w:t xml:space="preserve">11 421 630,00 (он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746DEC" w:rsidRPr="00746DEC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746DEC" w:rsidRPr="00746DEC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бір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746DEC" w:rsidRPr="00746DE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6DEC" w:rsidRPr="00746DEC">
              <w:rPr>
                <w:rFonts w:cs="Times New Roman"/>
                <w:sz w:val="18"/>
                <w:szCs w:val="18"/>
              </w:rPr>
              <w:t>отыз</w:t>
            </w:r>
            <w:proofErr w:type="spellEnd"/>
            <w:r w:rsidR="00B73625"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1B069C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Pr="001B069C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="007A01F1"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="00A33AE9" w:rsidRPr="001B069C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1B069C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1B069C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1B069C">
              <w:rPr>
                <w:rFonts w:cs="Times New Roman"/>
                <w:sz w:val="18"/>
                <w:szCs w:val="18"/>
              </w:rPr>
              <w:t>09</w:t>
            </w:r>
            <w:r w:rsidR="00A33AE9" w:rsidRPr="001B069C">
              <w:rPr>
                <w:rFonts w:cs="Times New Roman"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="007A01F1"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="007A01F1" w:rsidRPr="001B069C">
              <w:rPr>
                <w:rFonts w:cs="Times New Roman"/>
                <w:sz w:val="18"/>
                <w:szCs w:val="18"/>
              </w:rPr>
              <w:t>: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1B069C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1B069C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1B069C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1B069C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1B069C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1B069C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1B069C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1B069C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1B069C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A83B0A" w:rsidRPr="001B069C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lastRenderedPageBreak/>
              <w:t>жағдайда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  <w:r w:rsidR="00F21401" w:rsidRPr="001B069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1B069C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1B069C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1B069C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1B069C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B069C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1B069C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1B069C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1B069C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1B069C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F66D94" w:rsidRPr="001B069C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F66D94" w:rsidRPr="001B069C" w:rsidRDefault="00F66D9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r w:rsidR="00746DEC" w:rsidRPr="00746DEC">
              <w:rPr>
                <w:rFonts w:cs="Times New Roman"/>
                <w:sz w:val="18"/>
                <w:szCs w:val="18"/>
              </w:rPr>
              <w:t>11</w:t>
            </w:r>
            <w:r w:rsidR="009C6379" w:rsidRPr="00746DEC">
              <w:rPr>
                <w:rFonts w:cs="Times New Roman"/>
                <w:sz w:val="18"/>
                <w:szCs w:val="18"/>
              </w:rPr>
              <w:t> </w:t>
            </w:r>
            <w:r w:rsidR="00746DEC" w:rsidRPr="00746DEC">
              <w:rPr>
                <w:rFonts w:cs="Times New Roman"/>
                <w:sz w:val="18"/>
                <w:szCs w:val="18"/>
              </w:rPr>
              <w:t>421</w:t>
            </w:r>
            <w:r w:rsidR="009C6379" w:rsidRPr="00746DEC">
              <w:rPr>
                <w:rFonts w:cs="Times New Roman"/>
                <w:sz w:val="18"/>
                <w:szCs w:val="18"/>
              </w:rPr>
              <w:t xml:space="preserve"> </w:t>
            </w:r>
            <w:r w:rsidR="00746DEC" w:rsidRPr="00746DEC">
              <w:rPr>
                <w:rFonts w:cs="Times New Roman"/>
                <w:sz w:val="18"/>
                <w:szCs w:val="18"/>
              </w:rPr>
              <w:t>630</w:t>
            </w:r>
            <w:r w:rsidR="003E6878" w:rsidRPr="00746DEC">
              <w:rPr>
                <w:rFonts w:cs="Times New Roman"/>
                <w:sz w:val="18"/>
                <w:szCs w:val="18"/>
              </w:rPr>
              <w:t>,0</w:t>
            </w:r>
            <w:r w:rsidR="00C56BE6" w:rsidRPr="00746DEC">
              <w:rPr>
                <w:rFonts w:cs="Times New Roman"/>
                <w:sz w:val="18"/>
                <w:szCs w:val="18"/>
              </w:rPr>
              <w:t>0</w:t>
            </w:r>
            <w:r w:rsidR="001B55DA" w:rsidRPr="00746DEC">
              <w:rPr>
                <w:rFonts w:cs="Times New Roman"/>
                <w:sz w:val="18"/>
                <w:szCs w:val="18"/>
              </w:rPr>
              <w:t xml:space="preserve"> </w:t>
            </w:r>
            <w:r w:rsidRPr="00746DEC">
              <w:rPr>
                <w:rFonts w:cs="Times New Roman"/>
                <w:sz w:val="18"/>
                <w:szCs w:val="18"/>
              </w:rPr>
              <w:t>(</w:t>
            </w:r>
            <w:r w:rsidR="00746DEC" w:rsidRPr="00746DEC">
              <w:rPr>
                <w:rFonts w:cs="Times New Roman"/>
                <w:sz w:val="18"/>
                <w:szCs w:val="18"/>
              </w:rPr>
              <w:t>одиннадцать миллионов четыреста двадцать одна тысяча шестьсот тридцать</w:t>
            </w:r>
            <w:r w:rsidRPr="00746DEC">
              <w:rPr>
                <w:rFonts w:cs="Times New Roman"/>
                <w:sz w:val="18"/>
                <w:szCs w:val="18"/>
              </w:rPr>
              <w:t>) тенге</w:t>
            </w:r>
            <w:r w:rsidRPr="001B069C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1B069C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1B069C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1B069C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1B069C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1B069C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1B069C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1B069C">
              <w:rPr>
                <w:b/>
                <w:sz w:val="18"/>
                <w:szCs w:val="18"/>
              </w:rPr>
              <w:t xml:space="preserve"> </w:t>
            </w:r>
            <w:r w:rsidRPr="001B069C">
              <w:rPr>
                <w:b/>
                <w:sz w:val="18"/>
                <w:szCs w:val="18"/>
              </w:rPr>
              <w:t>предложений</w:t>
            </w:r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1B069C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1B069C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1B069C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="007A01F1"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="007A01F1"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1B069C">
              <w:rPr>
                <w:rFonts w:cs="Times New Roman"/>
                <w:sz w:val="18"/>
                <w:szCs w:val="18"/>
              </w:rPr>
              <w:t>09</w:t>
            </w:r>
            <w:r w:rsidR="007A01F1" w:rsidRPr="001B069C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1B069C">
              <w:rPr>
                <w:b/>
                <w:sz w:val="18"/>
                <w:szCs w:val="18"/>
              </w:rPr>
              <w:t>рассмотрения</w:t>
            </w:r>
            <w:r w:rsidR="0017111C" w:rsidRPr="001B069C">
              <w:rPr>
                <w:sz w:val="18"/>
                <w:szCs w:val="18"/>
              </w:rPr>
              <w:t xml:space="preserve"> </w:t>
            </w:r>
            <w:r w:rsidRPr="001B069C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1B069C">
              <w:rPr>
                <w:rFonts w:cs="Times New Roman"/>
                <w:sz w:val="18"/>
                <w:szCs w:val="18"/>
              </w:rPr>
              <w:t xml:space="preserve">: дата 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>07</w:t>
            </w:r>
            <w:r w:rsidRPr="001B069C">
              <w:rPr>
                <w:rFonts w:cs="Times New Roman"/>
                <w:sz w:val="18"/>
                <w:szCs w:val="18"/>
              </w:rPr>
              <w:t>.</w:t>
            </w:r>
            <w:r w:rsidR="000155AC" w:rsidRPr="001B069C">
              <w:rPr>
                <w:rFonts w:cs="Times New Roman"/>
                <w:sz w:val="18"/>
                <w:szCs w:val="18"/>
              </w:rPr>
              <w:t>0</w:t>
            </w:r>
            <w:r w:rsidR="007D30C1" w:rsidRPr="001B069C">
              <w:rPr>
                <w:rFonts w:cs="Times New Roman"/>
                <w:sz w:val="18"/>
                <w:szCs w:val="18"/>
              </w:rPr>
              <w:t>2</w:t>
            </w:r>
            <w:r w:rsidRPr="001B069C">
              <w:rPr>
                <w:rFonts w:cs="Times New Roman"/>
                <w:sz w:val="18"/>
                <w:szCs w:val="18"/>
              </w:rPr>
              <w:t>.202</w:t>
            </w:r>
            <w:r w:rsidR="000155AC" w:rsidRPr="001B069C">
              <w:rPr>
                <w:rFonts w:cs="Times New Roman"/>
                <w:sz w:val="18"/>
                <w:szCs w:val="18"/>
              </w:rPr>
              <w:t>4</w:t>
            </w:r>
            <w:r w:rsidRPr="001B069C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746DEC">
              <w:rPr>
                <w:rFonts w:cs="Times New Roman"/>
                <w:sz w:val="18"/>
                <w:szCs w:val="18"/>
                <w:lang w:val="kk-KZ"/>
              </w:rPr>
              <w:t>10</w:t>
            </w:r>
            <w:r w:rsidRPr="001B069C">
              <w:rPr>
                <w:rFonts w:cs="Times New Roman"/>
                <w:sz w:val="18"/>
                <w:szCs w:val="18"/>
              </w:rPr>
              <w:t>:</w:t>
            </w:r>
            <w:r w:rsidR="001B069C">
              <w:rPr>
                <w:rFonts w:cs="Times New Roman"/>
                <w:sz w:val="18"/>
                <w:szCs w:val="18"/>
                <w:lang w:val="kk-KZ"/>
              </w:rPr>
              <w:t>00</w:t>
            </w:r>
            <w:r w:rsidRPr="001B069C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1B069C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1B069C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1B069C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1B069C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1B069C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1B069C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1B069C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1B069C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0" w:name="z374"/>
            <w:r w:rsidRPr="001B069C">
              <w:rPr>
                <w:sz w:val="18"/>
                <w:szCs w:val="18"/>
              </w:rPr>
              <w:t xml:space="preserve">             </w:t>
            </w:r>
            <w:r w:rsidR="0017111C" w:rsidRPr="001B069C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1B069C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1B069C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1B069C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1B069C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5"/>
            <w:bookmarkEnd w:id="0"/>
            <w:r w:rsidRPr="001B069C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1B069C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2" w:name="z386"/>
            <w:bookmarkEnd w:id="1"/>
            <w:r w:rsidR="00F257DD" w:rsidRPr="001B069C">
              <w:rPr>
                <w:rFonts w:cs="Times New Roman"/>
                <w:sz w:val="18"/>
                <w:szCs w:val="18"/>
              </w:rPr>
              <w:t xml:space="preserve">.    </w:t>
            </w:r>
            <w:r w:rsidRPr="001B069C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1B069C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1B069C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1B069C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3" w:name="z383"/>
            <w:r w:rsidRPr="001B069C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1B069C" w:rsidRDefault="00EC52F2" w:rsidP="00EC52F2">
            <w:pPr>
              <w:jc w:val="both"/>
              <w:rPr>
                <w:sz w:val="18"/>
                <w:szCs w:val="18"/>
              </w:rPr>
            </w:pPr>
            <w:bookmarkStart w:id="4" w:name="z384"/>
            <w:bookmarkEnd w:id="3"/>
            <w:r w:rsidRPr="001B069C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1B069C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1B069C">
              <w:rPr>
                <w:sz w:val="18"/>
                <w:szCs w:val="18"/>
              </w:rPr>
              <w:t xml:space="preserve">один потенциальный </w:t>
            </w:r>
            <w:r w:rsidR="008C2B56" w:rsidRPr="001B069C">
              <w:rPr>
                <w:sz w:val="18"/>
                <w:szCs w:val="18"/>
              </w:rPr>
              <w:lastRenderedPageBreak/>
              <w:t>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End w:id="2"/>
            <w:bookmarkEnd w:id="4"/>
          </w:p>
          <w:p w:rsidR="007A01F1" w:rsidRPr="001B069C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1B069C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1B069C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400"/>
            <w:r w:rsidRPr="001B069C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1B069C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1B069C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069C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069C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1B069C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1B069C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1B069C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1B069C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1B069C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1"/>
            <w:bookmarkEnd w:id="5"/>
            <w:r w:rsidRPr="001B069C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2"/>
            <w:bookmarkEnd w:id="6"/>
            <w:r w:rsidRPr="001B069C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3"/>
            <w:bookmarkEnd w:id="7"/>
            <w:r w:rsidRPr="001B069C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4"/>
            <w:bookmarkEnd w:id="8"/>
            <w:r w:rsidRPr="001B069C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1B069C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5"/>
            <w:bookmarkEnd w:id="9"/>
            <w:r w:rsidRPr="001B069C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1B069C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1" w:name="z394"/>
            <w:bookmarkStart w:id="12" w:name="z388"/>
            <w:bookmarkEnd w:id="10"/>
            <w:r w:rsidRPr="001B069C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1B069C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1"/>
            <w:r w:rsidR="00AF229F" w:rsidRPr="001B069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1B069C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1B069C">
              <w:rPr>
                <w:rFonts w:cs="Times New Roman"/>
                <w:sz w:val="18"/>
                <w:szCs w:val="18"/>
              </w:rPr>
              <w:t>рабочих</w:t>
            </w:r>
            <w:r w:rsidRPr="001B069C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1B069C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1B069C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2"/>
          <w:p w:rsidR="007A01F1" w:rsidRPr="001B069C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44DB9" w:rsidRPr="001B069C" w:rsidTr="00A83B0A">
        <w:tc>
          <w:tcPr>
            <w:tcW w:w="4927" w:type="dxa"/>
          </w:tcPr>
          <w:p w:rsidR="00544DB9" w:rsidRPr="001B069C" w:rsidRDefault="00544DB9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104" w:type="dxa"/>
          </w:tcPr>
          <w:p w:rsidR="00544DB9" w:rsidRPr="001B069C" w:rsidRDefault="00544DB9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E4253F" w:rsidRPr="001B069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1B069C" w:rsidTr="00F65F58">
        <w:tc>
          <w:tcPr>
            <w:tcW w:w="3085" w:type="dxa"/>
            <w:vAlign w:val="center"/>
          </w:tcPr>
          <w:p w:rsidR="007A01F1" w:rsidRPr="001B069C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1B069C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1B069C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1B069C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1B069C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1B069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1B069C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B069C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1B069C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1B069C" w:rsidRDefault="0080080F" w:rsidP="0048597F">
      <w:pPr>
        <w:rPr>
          <w:rFonts w:cs="Times New Roman"/>
          <w:sz w:val="16"/>
          <w:szCs w:val="16"/>
        </w:rPr>
      </w:pPr>
      <w:r w:rsidRPr="001B069C">
        <w:rPr>
          <w:rFonts w:cs="Times New Roman"/>
          <w:i/>
          <w:sz w:val="16"/>
          <w:szCs w:val="16"/>
        </w:rPr>
        <w:t>8-727-278-04-44</w:t>
      </w:r>
      <w:bookmarkStart w:id="13" w:name="_GoBack"/>
      <w:bookmarkEnd w:id="13"/>
    </w:p>
    <w:sectPr w:rsidR="0086053E" w:rsidRPr="001B069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04B83"/>
    <w:rsid w:val="000155AC"/>
    <w:rsid w:val="00020133"/>
    <w:rsid w:val="00023FC3"/>
    <w:rsid w:val="00026F71"/>
    <w:rsid w:val="00034096"/>
    <w:rsid w:val="00047263"/>
    <w:rsid w:val="0005257F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C22A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069C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E6878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974FF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44DB9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364C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D2EBB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6DEC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0C1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57452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4C6C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379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4A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E797E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56BE6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344D5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B6E05"/>
    <w:rsid w:val="00DC09CA"/>
    <w:rsid w:val="00DC56C3"/>
    <w:rsid w:val="00DD18F7"/>
    <w:rsid w:val="00DD599A"/>
    <w:rsid w:val="00DE2F15"/>
    <w:rsid w:val="00DE7C77"/>
    <w:rsid w:val="00DF0189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0A12"/>
    <w:rsid w:val="00E52268"/>
    <w:rsid w:val="00E5270A"/>
    <w:rsid w:val="00E566B8"/>
    <w:rsid w:val="00E82AB7"/>
    <w:rsid w:val="00E85795"/>
    <w:rsid w:val="00E9429A"/>
    <w:rsid w:val="00E95BC4"/>
    <w:rsid w:val="00EA074F"/>
    <w:rsid w:val="00EA5A05"/>
    <w:rsid w:val="00EA7660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66D94"/>
    <w:rsid w:val="00F7002E"/>
    <w:rsid w:val="00F73AC4"/>
    <w:rsid w:val="00F95F7C"/>
    <w:rsid w:val="00FB04A1"/>
    <w:rsid w:val="00FB7405"/>
    <w:rsid w:val="00FC201A"/>
    <w:rsid w:val="00FC4CE5"/>
    <w:rsid w:val="00FD227B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5413-9150-4B35-85C0-0DD892C9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4735</TotalTime>
  <Pages>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318</cp:revision>
  <cp:lastPrinted>2024-01-31T05:59:00Z</cp:lastPrinted>
  <dcterms:created xsi:type="dcterms:W3CDTF">2019-01-15T05:22:00Z</dcterms:created>
  <dcterms:modified xsi:type="dcterms:W3CDTF">2024-01-31T06:00:00Z</dcterms:modified>
</cp:coreProperties>
</file>