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92"/>
      </w:tblGrid>
      <w:tr w:rsidR="00A83B0A" w:rsidRPr="00371BB1" w:rsidTr="00A83B0A">
        <w:trPr>
          <w:trHeight w:val="5320"/>
        </w:trPr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371BB1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371BB1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20DCE" w:rsidRPr="00371BB1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  «</w:t>
            </w:r>
            <w:r w:rsidR="00371BB1" w:rsidRPr="00371BB1">
              <w:rPr>
                <w:rFonts w:ascii="Times New Roman" w:hAnsi="Times New Roman"/>
                <w:sz w:val="18"/>
                <w:szCs w:val="18"/>
              </w:rPr>
              <w:t>24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BE0D7F" w:rsidRPr="00371BB1">
              <w:rPr>
                <w:rFonts w:ascii="Times New Roman" w:hAnsi="Times New Roman"/>
                <w:sz w:val="18"/>
                <w:szCs w:val="18"/>
              </w:rPr>
              <w:t>қаңтар</w:t>
            </w:r>
            <w:proofErr w:type="spellEnd"/>
            <w:r w:rsidR="00A33AE9" w:rsidRPr="00371BB1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E0D7F" w:rsidRPr="00371BB1">
              <w:rPr>
                <w:rFonts w:ascii="Times New Roman" w:hAnsi="Times New Roman"/>
                <w:sz w:val="18"/>
                <w:szCs w:val="18"/>
              </w:rPr>
              <w:t>4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371BB1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B606E" w:rsidRPr="00371BB1" w:rsidRDefault="007A01F1" w:rsidP="003B60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371BB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       </w:t>
            </w:r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АҚ «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</w:t>
            </w:r>
            <w:r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Қазақстан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Республикасы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Денсаулық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министрінің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2023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жылғы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7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маусымдағы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№ 110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бұйрығына</w:t>
            </w:r>
            <w:proofErr w:type="spellEnd"/>
            <w:r w:rsidR="003B606E" w:rsidRPr="00371BB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сәйкес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жасалды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«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Тегін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кепілдік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берілген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шеңберінде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тергеу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изоляторлары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мен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қылмысты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қ-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атқару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пенитенциарлық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мекемелерінде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ұсталатын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адамдар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үшін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көмектің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қосымша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көлемін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бюджет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қаражаты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есебінен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немесе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)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міндетті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әлеуметтік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сақтандыру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жүйесінде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ілік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заттарды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медициналық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бұйымдарды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арнайы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емдік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өнімдерді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фармацевтикалық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көрсетілетін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қызметтерді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сатып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алуды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ұйымдастыру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және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өткізу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қағидаларын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бекіту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туралы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» (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бұдан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ә</w:t>
            </w:r>
            <w:proofErr w:type="gram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</w:t>
            </w:r>
            <w:proofErr w:type="gram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і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– </w:t>
            </w:r>
            <w:proofErr w:type="spellStart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Ережелер</w:t>
            </w:r>
            <w:proofErr w:type="spellEnd"/>
            <w:r w:rsidR="003B606E" w:rsidRPr="00371BB1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).</w:t>
            </w:r>
          </w:p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1BB1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371BB1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92" w:type="dxa"/>
          </w:tcPr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</w:t>
            </w:r>
          </w:p>
          <w:p w:rsidR="00AA62E9" w:rsidRPr="00371BB1" w:rsidRDefault="00AA62E9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г. Алматы                    </w:t>
            </w:r>
            <w:r w:rsidR="00BA1224" w:rsidRPr="00371BB1">
              <w:rPr>
                <w:rFonts w:cs="Times New Roman"/>
                <w:sz w:val="18"/>
                <w:szCs w:val="18"/>
              </w:rPr>
              <w:t xml:space="preserve">                     </w:t>
            </w:r>
            <w:r w:rsidRPr="00371BB1">
              <w:rPr>
                <w:rFonts w:cs="Times New Roman"/>
                <w:sz w:val="18"/>
                <w:szCs w:val="18"/>
              </w:rPr>
              <w:t xml:space="preserve">     «</w:t>
            </w:r>
            <w:r w:rsidR="00371BB1" w:rsidRPr="00371BB1">
              <w:rPr>
                <w:rFonts w:cs="Times New Roman"/>
                <w:sz w:val="18"/>
                <w:szCs w:val="18"/>
              </w:rPr>
              <w:t>24</w:t>
            </w:r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  <w:r w:rsidR="00BE0D7F" w:rsidRPr="00371BB1">
              <w:rPr>
                <w:rFonts w:cs="Times New Roman"/>
                <w:sz w:val="18"/>
                <w:szCs w:val="18"/>
              </w:rPr>
              <w:t xml:space="preserve">января </w:t>
            </w:r>
            <w:r w:rsidRPr="00371BB1">
              <w:rPr>
                <w:rFonts w:cs="Times New Roman"/>
                <w:sz w:val="18"/>
                <w:szCs w:val="18"/>
              </w:rPr>
              <w:t>202</w:t>
            </w:r>
            <w:r w:rsidR="00BE0D7F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371BB1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371BB1" w:rsidRDefault="003B606E" w:rsidP="003B606E">
            <w:pPr>
              <w:jc w:val="both"/>
              <w:rPr>
                <w:rStyle w:val="s1"/>
                <w:rFonts w:cs="Mangal"/>
                <w:b w:val="0"/>
                <w:bCs w:val="0"/>
                <w:color w:val="auto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» в соответствии </w:t>
            </w:r>
            <w:r w:rsidR="008C2B56" w:rsidRPr="00371BB1">
              <w:rPr>
                <w:sz w:val="18"/>
                <w:szCs w:val="18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7A01F1" w:rsidRPr="00371BB1">
              <w:rPr>
                <w:rStyle w:val="s1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371BB1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371BB1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371BB1">
                <w:rPr>
                  <w:rStyle w:val="a5"/>
                  <w:rFonts w:eastAsiaTheme="minorHAnsi" w:cs="Times New Roman"/>
                  <w:color w:val="auto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371BB1" w:rsidRDefault="007A01F1" w:rsidP="0048597F">
      <w:pPr>
        <w:jc w:val="both"/>
        <w:rPr>
          <w:rStyle w:val="a5"/>
          <w:rFonts w:eastAsiaTheme="minorHAnsi" w:cs="Times New Roman"/>
          <w:color w:val="auto"/>
          <w:kern w:val="0"/>
          <w:lang w:eastAsia="en-US"/>
        </w:rPr>
      </w:pPr>
    </w:p>
    <w:tbl>
      <w:tblPr>
        <w:tblW w:w="1148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394"/>
        <w:gridCol w:w="991"/>
        <w:gridCol w:w="1136"/>
        <w:gridCol w:w="1447"/>
        <w:gridCol w:w="1250"/>
      </w:tblGrid>
      <w:tr w:rsidR="00371BB1" w:rsidRPr="00371BB1" w:rsidTr="00371BB1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E0940" w:rsidRPr="00371BB1" w:rsidRDefault="002E0940" w:rsidP="00371BB1">
            <w:pPr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2E0940" w:rsidRPr="00371BB1" w:rsidRDefault="002E0940" w:rsidP="00371BB1">
            <w:pPr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E0940" w:rsidRPr="00371BB1" w:rsidRDefault="002E0940" w:rsidP="00371BB1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2E0940" w:rsidRPr="00371BB1" w:rsidRDefault="002E0940" w:rsidP="00371BB1">
            <w:pPr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2E0940" w:rsidRPr="00371BB1" w:rsidRDefault="002E0940" w:rsidP="00371BB1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0940" w:rsidRPr="00371BB1" w:rsidRDefault="002E0940" w:rsidP="00371BB1">
            <w:pPr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E0940" w:rsidRPr="00371BB1" w:rsidRDefault="002E0940" w:rsidP="00371BB1">
            <w:pPr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2E0940" w:rsidRPr="00371BB1" w:rsidRDefault="002E0940" w:rsidP="00371BB1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371BB1" w:rsidRPr="00371BB1" w:rsidTr="00371BB1">
        <w:trPr>
          <w:trHeight w:val="50"/>
        </w:trPr>
        <w:tc>
          <w:tcPr>
            <w:tcW w:w="11487" w:type="dxa"/>
            <w:gridSpan w:val="7"/>
            <w:shd w:val="clear" w:color="auto" w:fill="E5DFEC" w:themeFill="accent4" w:themeFillTint="33"/>
            <w:noWrap/>
            <w:vAlign w:val="center"/>
          </w:tcPr>
          <w:p w:rsidR="00A92218" w:rsidRPr="00371BB1" w:rsidRDefault="00085C12" w:rsidP="00371BB1">
            <w:pPr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Медицинские изделия</w:t>
            </w:r>
            <w:r w:rsidR="007C7892" w:rsidRPr="00371BB1">
              <w:rPr>
                <w:rFonts w:cs="Times New Roman"/>
                <w:b/>
                <w:sz w:val="18"/>
                <w:szCs w:val="18"/>
              </w:rPr>
              <w:t xml:space="preserve"> отделения </w:t>
            </w:r>
            <w:r w:rsidR="00EB2DA3" w:rsidRPr="00371BB1">
              <w:rPr>
                <w:rFonts w:cs="Times New Roman"/>
                <w:b/>
                <w:sz w:val="18"/>
                <w:szCs w:val="18"/>
              </w:rPr>
              <w:t>урологии</w:t>
            </w:r>
            <w:r w:rsidR="00EC29BA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7C7892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71BB1">
              <w:rPr>
                <w:rFonts w:cs="Times New Roman"/>
                <w:sz w:val="18"/>
                <w:szCs w:val="18"/>
              </w:rPr>
              <w:t>Мочеточниковый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стент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«двойная петля». 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71BB1">
              <w:rPr>
                <w:rFonts w:cs="Times New Roman"/>
                <w:sz w:val="18"/>
                <w:szCs w:val="18"/>
              </w:rPr>
              <w:t>Мочеточниковый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стент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«двойная петля».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Мочеточниковый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стент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двухпетлевой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представляет собой гибкую,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рентгеноконтрастную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Стент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маркирован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непрерывной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рентгеноконтрастной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фталаты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Упаковка индивидуальная, стерильная (стерилизация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этилен-оксидом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). Размер по заявке заказчика.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12 900,00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1 290 000,00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71BB1">
              <w:rPr>
                <w:rFonts w:cs="Times New Roman"/>
                <w:sz w:val="18"/>
                <w:szCs w:val="18"/>
              </w:rPr>
              <w:t>Щипцы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захватывающие по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Perez-Castro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с длинными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для каменной дорожки с двумя подвижными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р-р 5Шр, жесткие, длина 60 см, цвет красный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71BB1">
              <w:rPr>
                <w:rFonts w:cs="Times New Roman"/>
                <w:sz w:val="18"/>
                <w:szCs w:val="18"/>
              </w:rPr>
              <w:t>Щипцы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захватывающие по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Perez-Castro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с длинными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для каменной дорожки с двумя подвижными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браншами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р-р 5Шр, жесткие, длина 60 см, цвет красный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6,00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558 200,00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3 349 200,00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71BB1">
              <w:rPr>
                <w:rFonts w:cs="Times New Roman"/>
                <w:sz w:val="18"/>
                <w:szCs w:val="18"/>
              </w:rPr>
              <w:t xml:space="preserve">Зажим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корзинчатый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захват для камней, 5Шр, длина 60 см,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трехкольцевая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рукоятка, корзина, спираль</w:t>
            </w:r>
            <w:proofErr w:type="gramEnd"/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71BB1">
              <w:rPr>
                <w:rFonts w:cs="Times New Roman"/>
                <w:sz w:val="18"/>
                <w:szCs w:val="18"/>
              </w:rPr>
              <w:t xml:space="preserve">Зажим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корзинчатый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захват для камней, 5Шр, длина 60 см,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трехкольцевая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рукоятка, корзина, спираль</w:t>
            </w:r>
            <w:proofErr w:type="gramEnd"/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1 281 600,00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6 408 000,00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Колпачок уплотняющий для инструментальных </w:t>
            </w:r>
            <w:r w:rsidRPr="00371BB1">
              <w:rPr>
                <w:rFonts w:cs="Times New Roman"/>
                <w:sz w:val="18"/>
                <w:szCs w:val="18"/>
              </w:rPr>
              <w:lastRenderedPageBreak/>
              <w:t>портов 27001 G/GF/GH/GP 27014V и 26252 ВС/В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, в упаковке 10 штук. Одноразовое использование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lastRenderedPageBreak/>
              <w:t>Колпачок уплотняющий для инструментальных портов 27001 G/GF/GH/GP 27014V и 26252 ВС/В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, в упаковке 10 штук. Одноразовое использование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упаковка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117 690,00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235 380,00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sz w:val="18"/>
                <w:szCs w:val="18"/>
              </w:rPr>
              <w:t>Высокопоточный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капилярный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диализатор с площадью мембраны 2,0-2,2 м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sz w:val="18"/>
                <w:szCs w:val="18"/>
              </w:rPr>
              <w:t>Высокопоточный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капилярный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диализатор с площадью мембраны 2,0-2,2 м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, Тип-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капилярный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 Синтетическая мембрана – сополимер полиамида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.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лощадь мембраны 2,0-2,2 м2. Объем заполнения не более 123 мл. Коэффициент ультрафильтрации (условия измерения: бычья кровь, гематокрит 32%, белок крови 60г/л, температура 37 С) от 14 до 16 мл/час * мм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рт.ст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КоА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для мочевины не менее 1265. Внутренний диаметр волокна не менее 215µm. Толщина стенки волокна не менее 50 µm. Максимальное трансмембранное давление не менее 600 мм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Hg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Клиренс веществ не менее: мочевина 275 мл/мин,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креатинин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246 мл/мин, фосфаты 218 мл/мин, витамин В12 – 131 мл/мин. (при кровотоке 300 мл/мин, потоке диализата 500 мл/мин). Метод стерилизации: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автоклавирование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725,00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4 999,00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3 624 275,00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Игла фистульная артериальная 15 G*25*300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Игла фистульная артериальная 15 G*25*300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600,00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220,00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132 000,00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Игла фистульная венозная 15 G*25*301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Игла фистульная венозная 15 G*25*300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штука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600,00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220,00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132 000,00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sz w:val="18"/>
                <w:szCs w:val="18"/>
              </w:rPr>
              <w:t>Кровопроводящие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магистрали для гемодиализа в наборе артерия-вена 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sz w:val="18"/>
                <w:szCs w:val="18"/>
              </w:rPr>
              <w:t>Кровопроводящие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магистрали для гемодиализа в наборе артерия-вена. Комплект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кровопроводящих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магистралей для гемодиализа стерильный, однократного применения.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Кровопроводящие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магистрали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в наборе артерия-вена для использования в аппаратах для гемодиализа при проведении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стандартной процедуры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гемодализа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Технические характеристики: тип материал: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кровопроводящая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магистраль: мягкий ПВХ медицинского предназначения. Коннекторы и другие компоненты: поликарбонат, ПВХ (поливинилхлорид), АБС (акрилонитрил-бутадиен-стирол), ПЭ (полиэтилен), ПА (полиамид); размеры: насосный сегмент 8,0 мм, венозная пузырьковая ловушка 22 мм, объем наполнения 158 мл. Стерилизация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этиленоксидом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Разъемы должны быть выполнены типа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Luer-lock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и иметь цветную (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красную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/синюю) маркировку.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71BB1">
              <w:rPr>
                <w:rFonts w:cs="Times New Roman"/>
                <w:sz w:val="18"/>
                <w:szCs w:val="18"/>
              </w:rPr>
              <w:t>ш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700,00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1 800,00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1 260 000,00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Катетер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гемодиализный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рентгеноконтрастный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Катетер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гемодиализный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рентгеноконтрастный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Центральный венозный катетер для гемодиализа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ренгеноконтрастный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12 FR длина 20 см.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Стерильное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для однократного применения.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71BB1">
              <w:rPr>
                <w:rFonts w:cs="Times New Roman"/>
                <w:sz w:val="18"/>
                <w:szCs w:val="18"/>
              </w:rPr>
              <w:t>ш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35,00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12 000,00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420 000,00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Фильтр диализной жидкости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Фильтр для диализной жидкости для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гемодиализного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аппарата.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характеристики: Ретенция эндотоксина &gt; 106. Период использования/ обмен фильтра - Макс. 12 недель или 100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ONLINEplus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процедур или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непрохождение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теста на целостность. Технические данные: Норма фильтрации ≥ 300 мл/ч*мм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рт.ст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≥ 3,75 л/мин*бар. Максимальное давление фильтрации - 2 бар.  Материал корпуса – Полипропилен, Материал герметика – Полиуретан. Соединение с аппаратом - DIAFIXTM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Lock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system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 Площадь поверхности 2,2 м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. Вес 170 г,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55 000,00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550 000,00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Расходный материал к аппарату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плазмофереза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PCS-2 в комплекте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Расходный материал к аппарату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плазмофереза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PCS-2 в комплекте. Расходный материал к аппарату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плазмафереза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в комплекте: Одноразовый комплект расходных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материалов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</w:t>
            </w:r>
            <w:r w:rsidRPr="00371BB1">
              <w:rPr>
                <w:rFonts w:cs="Times New Roman"/>
                <w:sz w:val="18"/>
                <w:szCs w:val="18"/>
              </w:rPr>
              <w:lastRenderedPageBreak/>
              <w:t>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240,00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20 500,00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4 920 000,00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Набор для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нефростомии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стерильный.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Набор для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нефростомии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 стерильный. Пункционная канюля. Набор для выполнения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трехэтапной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чрезкожной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пункционной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нефростомии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 Комплектация:  Двухкомпонентная пункционная игла с тремя ультразвуковыми метками на конце. Размеры игл:  диаметр 17,5 мм для 10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Ch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рентгенконтрастный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Нефростомический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катетер с завитком типа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Пигтейл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изготовленный из полиуретана,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рентгенконтрастный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типа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Luer-Lock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 Переходник с краном. Адаптер для мочеприемника. Три информационные наклейки. Стерильно. Для одноразового использования. Не содержит латекса.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371BB1">
              <w:rPr>
                <w:rFonts w:cs="Times New Roman"/>
                <w:sz w:val="18"/>
                <w:szCs w:val="18"/>
              </w:rPr>
              <w:t>н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абор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25,00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29 700,00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742 500,00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Набор для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цистостомии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стерильный, однократного применения, размером 12F и 14F, длиной 45 см. 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Набор для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цистостомии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стерильный, однократного применения, размером 12F и 14F, длиной 45 см. Предназначен для создания хирургическим путем искусственного надлобкового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мочепузырного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свища. Изделие асептическое,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апирогенное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стерилизованное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этиленоксидом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нетоксичное, одноразового использования. Катетер сделан из полиуретана высшего качества, покрыт силиконом. Качество материала обеспечивает оптимально длительное время нахождения введенного  катетера. Катетер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Pigtail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12F или 14F длиной 45 см, Разрывная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иглаөинтродьюсер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12F или 14F, длиной 120 мм, Кожный фиксатор, Шприц 10 мл, Скальпель, Зажим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набор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17 000,00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340 000,00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Режущая петля биполярная угловая 24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Петля, биполярная, 24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., для использования с оптикой HOPKINS® 27005FA/BA рабочим элементом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резектоскопа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производства KARL STORZ. Диаметр проволоки активного электрода 0,35 мм. Возвратный электрод выполнен из проволоки диаметром 0,6 мм, расположен над активным электродом, имеет U-образную форму и антибликовое покрытие Упаковка №6.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18,00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117 690,00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2 118 420,00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Шнур биполярный для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резектоскопа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400 см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Шнур биполярный для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резектоскопа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400 см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194 190,00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970 950,00</w:t>
            </w:r>
          </w:p>
        </w:tc>
      </w:tr>
      <w:tr w:rsidR="00371BB1" w:rsidRPr="00371BB1" w:rsidTr="00371BB1">
        <w:trPr>
          <w:trHeight w:val="274"/>
        </w:trPr>
        <w:tc>
          <w:tcPr>
            <w:tcW w:w="11487" w:type="dxa"/>
            <w:gridSpan w:val="7"/>
            <w:shd w:val="clear" w:color="auto" w:fill="E5DFEC" w:themeFill="accent4" w:themeFillTint="33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Медицинские изделия отделения </w:t>
            </w:r>
            <w:r w:rsidRPr="00371BB1">
              <w:rPr>
                <w:rFonts w:cs="Times New Roman"/>
                <w:b/>
                <w:sz w:val="18"/>
                <w:szCs w:val="18"/>
              </w:rPr>
              <w:t>интервенционной хирургии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Колба к шприцу-инжектору 150мл 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Колба одноразовая для введения контраста с линией для заполнения. Материал: высокопрочный прозрачный пластик из полипропилена. Объем колбы: 150 мл, 200 мл. Максимальное давление: 1200PSI(84bar) , Система крепежа: типа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Linder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Luer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(колба прикручивается к установке) или эквивалент. Характеристики: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Прозрачные; Позволяют выявлять воздух в шприце; Оптимальное сопротивление давлению; Двойной поршень-максимальная герметичность и защита от аспирации воздуха.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Совместим к аппаратам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Medrad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Mark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V,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Mark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V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plus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Mark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V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Provis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Angiomat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Illumena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). Срок стерилизации:3 года. Метод стерилизации: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Этиленоксидом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Размеры по заявке Заказчика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200,00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8 000,00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1 600 000,00</w:t>
            </w:r>
          </w:p>
        </w:tc>
      </w:tr>
      <w:tr w:rsidR="00371BB1" w:rsidRPr="00371BB1" w:rsidTr="00371BB1">
        <w:trPr>
          <w:trHeight w:val="274"/>
        </w:trPr>
        <w:tc>
          <w:tcPr>
            <w:tcW w:w="568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Набор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перфузионный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одноразовый, игла-бабочка размеры 23G 24G 25G 26G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Набор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перфузионный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 одноразовый: игла-бабочка, размеры 23G, 24G, 25G, 26G по заявке Заказчика.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инфузий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</w:t>
            </w:r>
            <w:r w:rsidRPr="00371BB1">
              <w:rPr>
                <w:rFonts w:cs="Times New Roman"/>
                <w:sz w:val="18"/>
                <w:szCs w:val="18"/>
              </w:rPr>
              <w:lastRenderedPageBreak/>
              <w:t xml:space="preserve">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Луер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Луер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Лок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дает возможность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перфузионное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устройство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lastRenderedPageBreak/>
              <w:t>штук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1000,00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80,00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:rsidR="00371BB1" w:rsidRPr="00371BB1" w:rsidRDefault="00371BB1" w:rsidP="00371BB1">
            <w:pPr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>80 000,00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A83B0A" w:rsidRPr="00371BB1" w:rsidTr="00A83B0A">
        <w:tc>
          <w:tcPr>
            <w:tcW w:w="4927" w:type="dxa"/>
          </w:tcPr>
          <w:p w:rsidR="0091217A" w:rsidRPr="00371BB1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C7892" w:rsidRPr="00371BB1" w:rsidRDefault="007C7892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371BB1" w:rsidRPr="00371BB1">
              <w:rPr>
                <w:rFonts w:cs="Times New Roman"/>
                <w:sz w:val="18"/>
                <w:szCs w:val="18"/>
              </w:rPr>
              <w:t>28 172 725.00 (</w:t>
            </w:r>
            <w:proofErr w:type="spellStart"/>
            <w:r w:rsidR="00371BB1" w:rsidRPr="00371BB1">
              <w:rPr>
                <w:rFonts w:cs="Times New Roman"/>
                <w:sz w:val="18"/>
                <w:szCs w:val="18"/>
              </w:rPr>
              <w:t>жиырма</w:t>
            </w:r>
            <w:proofErr w:type="spellEnd"/>
            <w:r w:rsidR="00371BB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71BB1" w:rsidRPr="00371BB1">
              <w:rPr>
                <w:rFonts w:cs="Times New Roman"/>
                <w:sz w:val="18"/>
                <w:szCs w:val="18"/>
              </w:rPr>
              <w:t>сегіз</w:t>
            </w:r>
            <w:proofErr w:type="spellEnd"/>
            <w:r w:rsidR="00371BB1" w:rsidRPr="00371BB1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371BB1" w:rsidRPr="00371BB1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371BB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71BB1" w:rsidRPr="00371BB1">
              <w:rPr>
                <w:rFonts w:cs="Times New Roman"/>
                <w:sz w:val="18"/>
                <w:szCs w:val="18"/>
              </w:rPr>
              <w:t>жетпі</w:t>
            </w:r>
            <w:proofErr w:type="gramStart"/>
            <w:r w:rsidR="00371BB1" w:rsidRPr="00371BB1">
              <w:rPr>
                <w:rFonts w:cs="Times New Roman"/>
                <w:sz w:val="18"/>
                <w:szCs w:val="18"/>
              </w:rPr>
              <w:t>с</w:t>
            </w:r>
            <w:proofErr w:type="spellEnd"/>
            <w:r w:rsidR="00371BB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71BB1" w:rsidRPr="00371BB1">
              <w:rPr>
                <w:rFonts w:cs="Times New Roman"/>
                <w:sz w:val="18"/>
                <w:szCs w:val="18"/>
              </w:rPr>
              <w:t>ек</w:t>
            </w:r>
            <w:proofErr w:type="gramEnd"/>
            <w:r w:rsidR="00371BB1"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="00371BB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71BB1" w:rsidRPr="00371BB1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371BB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71BB1" w:rsidRPr="00371BB1">
              <w:rPr>
                <w:rFonts w:cs="Times New Roman"/>
                <w:sz w:val="18"/>
                <w:szCs w:val="18"/>
              </w:rPr>
              <w:t>жеті</w:t>
            </w:r>
            <w:proofErr w:type="spellEnd"/>
            <w:r w:rsidR="00371BB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71BB1" w:rsidRPr="00371BB1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371BB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371BB1" w:rsidRPr="00371BB1">
              <w:rPr>
                <w:rFonts w:cs="Times New Roman"/>
                <w:sz w:val="18"/>
                <w:szCs w:val="18"/>
              </w:rPr>
              <w:t>жиырма</w:t>
            </w:r>
            <w:proofErr w:type="spellEnd"/>
            <w:r w:rsidR="00371BB1" w:rsidRPr="00371BB1">
              <w:rPr>
                <w:rFonts w:cs="Times New Roman"/>
                <w:sz w:val="18"/>
                <w:szCs w:val="18"/>
              </w:rPr>
              <w:t xml:space="preserve"> бес</w:t>
            </w:r>
            <w:r w:rsidR="00B73625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B73625" w:rsidRPr="00371BB1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B73625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7A01F1" w:rsidP="00EC52F2">
            <w:pPr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Pr="00371BB1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қабылдау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берудің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371BB1" w:rsidRPr="00371BB1">
              <w:rPr>
                <w:rFonts w:cs="Times New Roman"/>
                <w:sz w:val="18"/>
                <w:szCs w:val="18"/>
              </w:rPr>
              <w:t>31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256BDF" w:rsidRPr="00371BB1">
              <w:rPr>
                <w:rFonts w:cs="Times New Roman"/>
                <w:sz w:val="18"/>
                <w:szCs w:val="18"/>
              </w:rPr>
              <w:t>1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A33AE9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A33AE9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371BB1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A33AE9" w:rsidRPr="00371BB1">
              <w:rPr>
                <w:rFonts w:cs="Times New Roman"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371BB1" w:rsidRDefault="00AF229F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371BB1" w:rsidRPr="00371BB1">
              <w:rPr>
                <w:rFonts w:cs="Times New Roman"/>
                <w:sz w:val="18"/>
                <w:szCs w:val="18"/>
              </w:rPr>
              <w:t>31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256BDF" w:rsidRPr="00371BB1">
              <w:rPr>
                <w:rFonts w:cs="Times New Roman"/>
                <w:sz w:val="18"/>
                <w:szCs w:val="18"/>
              </w:rPr>
              <w:t>1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371BB1">
              <w:rPr>
                <w:rFonts w:cs="Times New Roman"/>
                <w:sz w:val="18"/>
                <w:szCs w:val="18"/>
              </w:rPr>
              <w:t>10</w:t>
            </w:r>
            <w:r w:rsidR="007A01F1" w:rsidRPr="00371BB1">
              <w:rPr>
                <w:rFonts w:cs="Times New Roman"/>
                <w:sz w:val="18"/>
                <w:szCs w:val="18"/>
              </w:rPr>
              <w:t>:</w:t>
            </w:r>
            <w:r w:rsidR="007445CF" w:rsidRPr="00371BB1">
              <w:rPr>
                <w:rFonts w:cs="Times New Roman"/>
                <w:sz w:val="18"/>
                <w:szCs w:val="18"/>
              </w:rPr>
              <w:t>00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бекітіледі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C92224" w:rsidRPr="00371BB1" w:rsidRDefault="00C92224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қатысуға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тапсыру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201-кабинеттегі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келі</w:t>
            </w:r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түскен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журналында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тіркелуге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міндетті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556F2B" w:rsidRPr="00371BB1" w:rsidRDefault="00556F2B" w:rsidP="00556F2B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        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Мәміле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жасау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тендерлік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құжаттамада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қолды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факсимильді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көшіру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құралдарын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b/>
                <w:sz w:val="18"/>
                <w:szCs w:val="18"/>
              </w:rPr>
              <w:t>пайдалану</w:t>
            </w:r>
            <w:proofErr w:type="gramEnd"/>
            <w:r w:rsidRPr="00371BB1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жол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b/>
                <w:sz w:val="18"/>
                <w:szCs w:val="18"/>
              </w:rPr>
              <w:t>берілмейді</w:t>
            </w:r>
            <w:proofErr w:type="spellEnd"/>
            <w:r w:rsidRPr="00371BB1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AF229F" w:rsidRPr="00371BB1" w:rsidRDefault="00EC52F2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2-қосымшаға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11-тармағында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көрсетілетін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көлеміне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жатады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E469EA" w:rsidP="00F2140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5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6-қосымшасына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талаптарын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Ең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="00AF229F" w:rsidRPr="00371BB1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="00AF229F" w:rsidRPr="00371BB1">
              <w:rPr>
                <w:rFonts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F229F" w:rsidRPr="00371BB1" w:rsidRDefault="00AF229F" w:rsidP="00AF229F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A83B0A" w:rsidRDefault="00AF229F" w:rsidP="00A83B0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80-тармағына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F21401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256BDF" w:rsidP="00AF229F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lastRenderedPageBreak/>
              <w:t xml:space="preserve">        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берушіге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немесе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F229F" w:rsidRPr="00371BB1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10 (он)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осы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Қағидаларда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көзделген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шарттарға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AF229F" w:rsidRPr="00371BB1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="00AF229F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E469EA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CB0271" w:rsidRPr="00371BB1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туралы"Заңға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кезде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";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 2)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3)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371BB1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4)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5)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;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6)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).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осы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</w:p>
          <w:p w:rsidR="007A01F1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371BB1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  <w:p w:rsidR="00E469EA" w:rsidRPr="00371BB1" w:rsidRDefault="00E469EA" w:rsidP="00E469EA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2 (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371BB1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C7892" w:rsidRPr="00371BB1" w:rsidRDefault="007C7892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r w:rsidR="00371BB1" w:rsidRPr="00371BB1">
              <w:rPr>
                <w:rFonts w:cs="Times New Roman"/>
                <w:sz w:val="18"/>
                <w:szCs w:val="18"/>
              </w:rPr>
              <w:t>28 172 725,</w:t>
            </w:r>
            <w:r w:rsidR="0081504C" w:rsidRPr="00371BB1">
              <w:rPr>
                <w:rFonts w:cs="Times New Roman"/>
                <w:sz w:val="18"/>
                <w:szCs w:val="18"/>
              </w:rPr>
              <w:t>0</w:t>
            </w:r>
            <w:r w:rsidR="001B55DA" w:rsidRPr="00371BB1">
              <w:rPr>
                <w:rFonts w:cs="Times New Roman"/>
                <w:sz w:val="18"/>
                <w:szCs w:val="18"/>
              </w:rPr>
              <w:t xml:space="preserve">0 </w:t>
            </w:r>
            <w:r w:rsidRPr="00371BB1">
              <w:rPr>
                <w:rFonts w:cs="Times New Roman"/>
                <w:sz w:val="18"/>
                <w:szCs w:val="18"/>
              </w:rPr>
              <w:t>(</w:t>
            </w:r>
            <w:r w:rsidR="00371BB1" w:rsidRPr="00371BB1">
              <w:rPr>
                <w:rFonts w:cs="Times New Roman"/>
                <w:sz w:val="18"/>
                <w:szCs w:val="18"/>
              </w:rPr>
              <w:t>двадцать восемь миллионов сто семьдесят две тысячи семьсот двадцать пять</w:t>
            </w:r>
            <w:r w:rsidRPr="00371BB1">
              <w:rPr>
                <w:rFonts w:cs="Times New Roman"/>
                <w:sz w:val="18"/>
                <w:szCs w:val="18"/>
              </w:rPr>
              <w:t>) тенге.</w:t>
            </w:r>
          </w:p>
          <w:p w:rsidR="007A01F1" w:rsidRPr="00371BB1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371BB1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371BB1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371BB1" w:rsidRDefault="0017111C" w:rsidP="0017111C">
            <w:pPr>
              <w:jc w:val="both"/>
              <w:rPr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Место представления (приема) документов и окончательный срок подачи ценовых</w:t>
            </w:r>
            <w:r w:rsidR="002F6F46" w:rsidRPr="00371BB1">
              <w:rPr>
                <w:b/>
                <w:sz w:val="18"/>
                <w:szCs w:val="18"/>
              </w:rPr>
              <w:t xml:space="preserve"> </w:t>
            </w:r>
            <w:r w:rsidRPr="00371BB1">
              <w:rPr>
                <w:b/>
                <w:sz w:val="18"/>
                <w:szCs w:val="18"/>
              </w:rPr>
              <w:t>предложений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7A01F1"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="007A01F1"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="007A01F1"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="007A01F1" w:rsidRPr="00371BB1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371BB1" w:rsidRPr="00371BB1">
              <w:rPr>
                <w:rFonts w:cs="Times New Roman"/>
                <w:sz w:val="18"/>
                <w:szCs w:val="18"/>
              </w:rPr>
              <w:t>31</w:t>
            </w:r>
            <w:r w:rsidR="007A01F1"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</w:t>
            </w:r>
            <w:r w:rsidR="00256BDF" w:rsidRPr="00371BB1">
              <w:rPr>
                <w:rFonts w:cs="Times New Roman"/>
                <w:sz w:val="18"/>
                <w:szCs w:val="18"/>
              </w:rPr>
              <w:t>1</w:t>
            </w:r>
            <w:r w:rsidR="007A01F1"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371BB1">
              <w:rPr>
                <w:rFonts w:cs="Times New Roman"/>
                <w:sz w:val="18"/>
                <w:szCs w:val="18"/>
              </w:rPr>
              <w:t>09</w:t>
            </w:r>
            <w:r w:rsidR="007A01F1" w:rsidRPr="00371BB1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Дата и время </w:t>
            </w:r>
            <w:r w:rsidR="0017111C" w:rsidRPr="00371BB1">
              <w:rPr>
                <w:b/>
                <w:sz w:val="18"/>
                <w:szCs w:val="18"/>
              </w:rPr>
              <w:t>рассмотрения</w:t>
            </w:r>
            <w:r w:rsidR="0017111C" w:rsidRPr="00371BB1">
              <w:rPr>
                <w:sz w:val="18"/>
                <w:szCs w:val="18"/>
              </w:rPr>
              <w:t xml:space="preserve"> </w:t>
            </w:r>
            <w:r w:rsidRPr="00371BB1">
              <w:rPr>
                <w:rFonts w:cs="Times New Roman"/>
                <w:b/>
                <w:sz w:val="18"/>
                <w:szCs w:val="18"/>
              </w:rPr>
              <w:t>ценовых предложений</w:t>
            </w:r>
            <w:r w:rsidRPr="00371BB1">
              <w:rPr>
                <w:rFonts w:cs="Times New Roman"/>
                <w:sz w:val="18"/>
                <w:szCs w:val="18"/>
              </w:rPr>
              <w:t xml:space="preserve">: дата </w:t>
            </w:r>
            <w:r w:rsidR="00371BB1" w:rsidRPr="00371BB1">
              <w:rPr>
                <w:rFonts w:cs="Times New Roman"/>
                <w:sz w:val="18"/>
                <w:szCs w:val="18"/>
              </w:rPr>
              <w:t>31</w:t>
            </w:r>
            <w:r w:rsidRPr="00371BB1">
              <w:rPr>
                <w:rFonts w:cs="Times New Roman"/>
                <w:sz w:val="18"/>
                <w:szCs w:val="18"/>
              </w:rPr>
              <w:t>.</w:t>
            </w:r>
            <w:r w:rsidR="000155AC" w:rsidRPr="00371BB1">
              <w:rPr>
                <w:rFonts w:cs="Times New Roman"/>
                <w:sz w:val="18"/>
                <w:szCs w:val="18"/>
              </w:rPr>
              <w:t>01</w:t>
            </w:r>
            <w:r w:rsidRPr="00371BB1">
              <w:rPr>
                <w:rFonts w:cs="Times New Roman"/>
                <w:sz w:val="18"/>
                <w:szCs w:val="18"/>
              </w:rPr>
              <w:t>.202</w:t>
            </w:r>
            <w:r w:rsidR="000155AC" w:rsidRPr="00371BB1">
              <w:rPr>
                <w:rFonts w:cs="Times New Roman"/>
                <w:sz w:val="18"/>
                <w:szCs w:val="18"/>
              </w:rPr>
              <w:t>4</w:t>
            </w:r>
            <w:r w:rsidRPr="00371BB1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371BB1">
              <w:rPr>
                <w:rFonts w:cs="Times New Roman"/>
                <w:sz w:val="18"/>
                <w:szCs w:val="18"/>
              </w:rPr>
              <w:t>10</w:t>
            </w:r>
            <w:r w:rsidRPr="00371BB1">
              <w:rPr>
                <w:rFonts w:cs="Times New Roman"/>
                <w:sz w:val="18"/>
                <w:szCs w:val="18"/>
              </w:rPr>
              <w:t>:</w:t>
            </w:r>
            <w:r w:rsidR="007445CF" w:rsidRPr="00371BB1">
              <w:rPr>
                <w:rFonts w:cs="Times New Roman"/>
                <w:sz w:val="18"/>
                <w:szCs w:val="18"/>
              </w:rPr>
              <w:t>00</w:t>
            </w:r>
            <w:r w:rsidRPr="00371BB1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371BB1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371BB1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371BB1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DF11B3" w:rsidRPr="00371BB1" w:rsidRDefault="00DF11B3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>Для сдачи документов (конверта) на участие в закупке Потенциальный поставщик обязан зарегистрироваться в журнале регистрации поступивших конвертов в кабинете 201.</w:t>
            </w:r>
          </w:p>
          <w:p w:rsidR="00556F2B" w:rsidRPr="00371BB1" w:rsidRDefault="00556F2B" w:rsidP="00556F2B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rFonts w:cs="Times New Roman"/>
                <w:b/>
                <w:sz w:val="18"/>
                <w:szCs w:val="18"/>
              </w:rPr>
              <w:t xml:space="preserve">Не </w:t>
            </w:r>
            <w:r w:rsidRPr="00371BB1">
              <w:rPr>
                <w:rFonts w:cs="Times New Roman"/>
                <w:b/>
                <w:spacing w:val="2"/>
                <w:sz w:val="18"/>
                <w:szCs w:val="18"/>
                <w:shd w:val="clear" w:color="auto" w:fill="FFFFFF"/>
              </w:rPr>
              <w:t xml:space="preserve">допускается при совершении сделки, в том числе в тендерной документации использование средств факсимильного копирования подписи. </w:t>
            </w:r>
          </w:p>
          <w:p w:rsidR="00F257DD" w:rsidRPr="00371BB1" w:rsidRDefault="00AF229F" w:rsidP="00F257DD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bookmarkStart w:id="1" w:name="z374"/>
            <w:r w:rsidRPr="00371BB1">
              <w:rPr>
                <w:sz w:val="18"/>
                <w:szCs w:val="18"/>
              </w:rPr>
              <w:t xml:space="preserve">             </w:t>
            </w:r>
            <w:r w:rsidR="0017111C" w:rsidRPr="00371BB1">
              <w:rPr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      </w:r>
            <w:proofErr w:type="gramStart"/>
            <w:r w:rsidR="0017111C" w:rsidRPr="00371BB1">
              <w:rPr>
                <w:sz w:val="18"/>
                <w:szCs w:val="18"/>
              </w:rPr>
      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      </w:r>
            <w:proofErr w:type="gramEnd"/>
            <w:r w:rsidR="0017111C" w:rsidRPr="00371BB1">
              <w:rPr>
                <w:sz w:val="18"/>
                <w:szCs w:val="18"/>
              </w:rPr>
              <w:t xml:space="preserve"> описание и объем фармацевтических услуг</w:t>
            </w:r>
            <w:r w:rsidR="00F257DD" w:rsidRPr="00371BB1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.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1"/>
            <w:r w:rsidRPr="00371BB1">
              <w:rPr>
                <w:rFonts w:cs="Times New Roman"/>
                <w:sz w:val="18"/>
                <w:szCs w:val="18"/>
              </w:rPr>
      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      </w:r>
            <w:r w:rsidR="00F257DD" w:rsidRPr="00371BB1">
              <w:rPr>
                <w:sz w:val="18"/>
                <w:szCs w:val="18"/>
              </w:rPr>
              <w:t>согласно приложению 5 и (или) 6 настоящих Правил</w:t>
            </w:r>
            <w:bookmarkStart w:id="3" w:name="z386"/>
            <w:bookmarkEnd w:id="2"/>
            <w:r w:rsidR="00F257DD" w:rsidRPr="00371BB1">
              <w:rPr>
                <w:rFonts w:cs="Times New Roman"/>
                <w:sz w:val="18"/>
                <w:szCs w:val="18"/>
              </w:rPr>
              <w:t xml:space="preserve">.    </w:t>
            </w:r>
            <w:r w:rsidRPr="00371BB1">
              <w:rPr>
                <w:rFonts w:cs="Times New Roman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17111C" w:rsidRPr="00371BB1" w:rsidRDefault="000E02BE" w:rsidP="00F65F58">
            <w:pPr>
              <w:ind w:firstLine="708"/>
              <w:jc w:val="both"/>
              <w:rPr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При отсутствии ценовых предложений закуп способом запроса ценовых предложений признается несостоявшимся.</w:t>
            </w:r>
          </w:p>
          <w:p w:rsidR="007A01F1" w:rsidRPr="00371BB1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371BB1">
              <w:rPr>
                <w:rFonts w:cs="Times New Roman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8C2B56" w:rsidRPr="00371BB1" w:rsidRDefault="00EC52F2" w:rsidP="00EC52F2">
            <w:pPr>
              <w:jc w:val="both"/>
              <w:rPr>
                <w:sz w:val="18"/>
                <w:szCs w:val="18"/>
              </w:rPr>
            </w:pPr>
            <w:bookmarkStart w:id="5" w:name="z384"/>
            <w:bookmarkEnd w:id="4"/>
            <w:r w:rsidRPr="00371BB1">
              <w:rPr>
                <w:rFonts w:cs="Times New Roman"/>
                <w:sz w:val="18"/>
                <w:szCs w:val="18"/>
              </w:rPr>
              <w:t xml:space="preserve">         </w:t>
            </w:r>
            <w:r w:rsidR="007A01F1" w:rsidRPr="00371BB1">
              <w:rPr>
                <w:rFonts w:cs="Times New Roman"/>
                <w:sz w:val="18"/>
                <w:szCs w:val="18"/>
              </w:rPr>
              <w:t xml:space="preserve">В случае, когда в закупе способом запроса ценовых предложений принимает участие </w:t>
            </w:r>
            <w:r w:rsidR="008C2B56" w:rsidRPr="00371BB1">
              <w:rPr>
                <w:sz w:val="18"/>
                <w:szCs w:val="18"/>
              </w:rPr>
              <w:t xml:space="preserve">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</w:t>
            </w:r>
            <w:r w:rsidR="008C2B56" w:rsidRPr="00371BB1">
              <w:rPr>
                <w:sz w:val="18"/>
                <w:szCs w:val="18"/>
              </w:rPr>
              <w:lastRenderedPageBreak/>
              <w:t>признании такого потенциального поставщика победителем закупа.</w:t>
            </w:r>
            <w:bookmarkEnd w:id="3"/>
            <w:bookmarkEnd w:id="5"/>
          </w:p>
          <w:p w:rsidR="007A01F1" w:rsidRPr="00371BB1" w:rsidRDefault="00AF229F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371BB1">
              <w:rPr>
                <w:b/>
                <w:sz w:val="18"/>
                <w:szCs w:val="18"/>
              </w:rPr>
              <w:t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</w:t>
            </w:r>
            <w:r w:rsidR="007A01F1" w:rsidRPr="00371BB1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371BB1">
              <w:rPr>
                <w:rFonts w:cs="Times New Roman"/>
                <w:sz w:val="18"/>
                <w:szCs w:val="18"/>
              </w:rPr>
              <w:t xml:space="preserve">      </w:t>
            </w:r>
            <w:proofErr w:type="gramStart"/>
            <w:r w:rsidRPr="00371BB1">
              <w:rPr>
                <w:rFonts w:cs="Times New Roman"/>
                <w:sz w:val="18"/>
                <w:szCs w:val="18"/>
              </w:rPr>
              <w:t xml:space="preserve">1) </w:t>
            </w:r>
            <w:r w:rsidR="008C2B56" w:rsidRPr="00371BB1">
              <w:rPr>
                <w:sz w:val="18"/>
                <w:szCs w:val="18"/>
              </w:rPr>
      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="008C2B56" w:rsidRPr="00371BB1">
              <w:rPr>
                <w:sz w:val="18"/>
                <w:szCs w:val="18"/>
              </w:rPr>
              <w:t xml:space="preserve"> </w:t>
            </w:r>
            <w:proofErr w:type="gramStart"/>
            <w:r w:rsidR="008C2B56" w:rsidRPr="00371BB1">
              <w:rPr>
                <w:sz w:val="18"/>
                <w:szCs w:val="18"/>
              </w:rPr>
              <w:t xml:space="preserve">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="008C2B56" w:rsidRPr="00371BB1">
              <w:rPr>
                <w:sz w:val="18"/>
                <w:szCs w:val="18"/>
              </w:rPr>
              <w:t>прекурсоров</w:t>
            </w:r>
            <w:proofErr w:type="spellEnd"/>
            <w:r w:rsidR="008C2B56" w:rsidRPr="00371BB1">
              <w:rPr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</w:t>
            </w:r>
            <w:r w:rsidRPr="00371BB1">
              <w:rPr>
                <w:rFonts w:cs="Times New Roman"/>
                <w:sz w:val="18"/>
                <w:szCs w:val="18"/>
              </w:rPr>
              <w:t>;</w:t>
            </w:r>
            <w:proofErr w:type="gramEnd"/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371BB1">
              <w:rPr>
                <w:rFonts w:cs="Times New Roman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371BB1">
              <w:rPr>
                <w:rFonts w:cs="Times New Roman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371BB1">
              <w:rPr>
                <w:rFonts w:cs="Times New Roman"/>
                <w:sz w:val="18"/>
                <w:szCs w:val="18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371BB1">
              <w:rPr>
                <w:rFonts w:cs="Times New Roman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371BB1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371BB1">
              <w:rPr>
                <w:rFonts w:cs="Times New Roman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AF229F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371BB1">
              <w:rPr>
                <w:rFonts w:cs="Times New Roman"/>
                <w:sz w:val="18"/>
                <w:szCs w:val="18"/>
              </w:rPr>
              <w:t xml:space="preserve">В случае </w:t>
            </w:r>
            <w:r w:rsidR="00AF229F" w:rsidRPr="00371BB1">
              <w:rPr>
                <w:sz w:val="18"/>
                <w:szCs w:val="18"/>
              </w:rPr>
              <w:t>несоответствии победителя условиям настоящих Правил, закуп способом ценовых предложений признается несостоявшимся</w:t>
            </w:r>
            <w:bookmarkEnd w:id="12"/>
            <w:r w:rsidR="00AF229F" w:rsidRPr="00371BB1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A01F1" w:rsidRPr="00371BB1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rFonts w:cs="Times New Roman"/>
                <w:sz w:val="18"/>
                <w:szCs w:val="18"/>
              </w:rPr>
              <w:t xml:space="preserve">В течение пяти </w:t>
            </w:r>
            <w:r w:rsidR="00CB0271" w:rsidRPr="00371BB1">
              <w:rPr>
                <w:rFonts w:cs="Times New Roman"/>
                <w:sz w:val="18"/>
                <w:szCs w:val="18"/>
              </w:rPr>
              <w:t>рабочих</w:t>
            </w:r>
            <w:r w:rsidRPr="00371BB1">
              <w:rPr>
                <w:rFonts w:cs="Times New Roman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AF229F" w:rsidRPr="00371BB1" w:rsidRDefault="00AF229F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371BB1">
              <w:rPr>
                <w:sz w:val="18"/>
                <w:szCs w:val="18"/>
              </w:rPr>
      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отказа не превышает 2 (двух) рабочих дней.</w:t>
            </w:r>
          </w:p>
          <w:bookmarkEnd w:id="13"/>
          <w:p w:rsidR="007A01F1" w:rsidRPr="00371BB1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E4253F" w:rsidRPr="00371BB1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371BB1" w:rsidTr="00F65F58">
        <w:tc>
          <w:tcPr>
            <w:tcW w:w="3085" w:type="dxa"/>
            <w:vAlign w:val="center"/>
          </w:tcPr>
          <w:p w:rsidR="007A01F1" w:rsidRPr="00371BB1" w:rsidRDefault="007A01F1" w:rsidP="00E469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469EA" w:rsidRPr="00371BB1">
              <w:rPr>
                <w:rFonts w:ascii="Times New Roman" w:hAnsi="Times New Roman"/>
                <w:b/>
                <w:sz w:val="20"/>
                <w:szCs w:val="20"/>
              </w:rPr>
              <w:t>басшысы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Начальник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371BB1" w:rsidRDefault="00E469EA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371BB1">
              <w:rPr>
                <w:rFonts w:ascii="Times New Roman" w:hAnsi="Times New Roman"/>
                <w:b/>
                <w:sz w:val="20"/>
                <w:szCs w:val="20"/>
              </w:rPr>
              <w:t xml:space="preserve"> Н.М</w:t>
            </w:r>
            <w:r w:rsidR="007A01F1" w:rsidRPr="00371B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A01F1" w:rsidRPr="00371BB1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71BB1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371BB1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371BB1" w:rsidRDefault="0080080F" w:rsidP="0048597F">
      <w:pPr>
        <w:rPr>
          <w:rFonts w:cs="Times New Roman"/>
          <w:sz w:val="16"/>
          <w:szCs w:val="16"/>
        </w:rPr>
      </w:pPr>
      <w:r w:rsidRPr="00371BB1">
        <w:rPr>
          <w:rFonts w:cs="Times New Roman"/>
          <w:i/>
          <w:sz w:val="16"/>
          <w:szCs w:val="16"/>
        </w:rPr>
        <w:t>8-727-278-04-44</w:t>
      </w:r>
    </w:p>
    <w:sectPr w:rsidR="0086053E" w:rsidRPr="00371BB1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CF"/>
    <w:multiLevelType w:val="hybridMultilevel"/>
    <w:tmpl w:val="AE7E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55AC"/>
    <w:rsid w:val="00020133"/>
    <w:rsid w:val="00023FC3"/>
    <w:rsid w:val="00026F71"/>
    <w:rsid w:val="00034096"/>
    <w:rsid w:val="00047263"/>
    <w:rsid w:val="00056832"/>
    <w:rsid w:val="00062C0A"/>
    <w:rsid w:val="00085C1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02BE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377DA"/>
    <w:rsid w:val="00143409"/>
    <w:rsid w:val="00144359"/>
    <w:rsid w:val="00145962"/>
    <w:rsid w:val="00152E99"/>
    <w:rsid w:val="0015585F"/>
    <w:rsid w:val="00155B82"/>
    <w:rsid w:val="00157F43"/>
    <w:rsid w:val="00166458"/>
    <w:rsid w:val="00170B05"/>
    <w:rsid w:val="0017111C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55DA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00D8"/>
    <w:rsid w:val="0024330A"/>
    <w:rsid w:val="00250BE6"/>
    <w:rsid w:val="00252AE7"/>
    <w:rsid w:val="00256BDF"/>
    <w:rsid w:val="00265D8B"/>
    <w:rsid w:val="00280E7D"/>
    <w:rsid w:val="00290C95"/>
    <w:rsid w:val="0029734F"/>
    <w:rsid w:val="002A308A"/>
    <w:rsid w:val="002A440B"/>
    <w:rsid w:val="002A7F4D"/>
    <w:rsid w:val="002B2BC2"/>
    <w:rsid w:val="002C6CDF"/>
    <w:rsid w:val="002D0FD8"/>
    <w:rsid w:val="002E0940"/>
    <w:rsid w:val="002F2B60"/>
    <w:rsid w:val="002F5DC9"/>
    <w:rsid w:val="002F6F46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71BB1"/>
    <w:rsid w:val="00377322"/>
    <w:rsid w:val="00394099"/>
    <w:rsid w:val="003B588D"/>
    <w:rsid w:val="003B606E"/>
    <w:rsid w:val="003C20FD"/>
    <w:rsid w:val="003D3079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4F4821"/>
    <w:rsid w:val="00523A50"/>
    <w:rsid w:val="0053264B"/>
    <w:rsid w:val="00541931"/>
    <w:rsid w:val="005443E2"/>
    <w:rsid w:val="00553C3C"/>
    <w:rsid w:val="00556F2B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23E3C"/>
    <w:rsid w:val="0063768C"/>
    <w:rsid w:val="00640D35"/>
    <w:rsid w:val="00646B3C"/>
    <w:rsid w:val="00651F5D"/>
    <w:rsid w:val="00653A61"/>
    <w:rsid w:val="00666AAF"/>
    <w:rsid w:val="00672051"/>
    <w:rsid w:val="00681B49"/>
    <w:rsid w:val="00685AF2"/>
    <w:rsid w:val="00690753"/>
    <w:rsid w:val="00693AB4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45CF"/>
    <w:rsid w:val="007475E3"/>
    <w:rsid w:val="007500B0"/>
    <w:rsid w:val="00754797"/>
    <w:rsid w:val="007578DB"/>
    <w:rsid w:val="00762A03"/>
    <w:rsid w:val="00762AF4"/>
    <w:rsid w:val="007773A2"/>
    <w:rsid w:val="0078134E"/>
    <w:rsid w:val="00791186"/>
    <w:rsid w:val="007A01F1"/>
    <w:rsid w:val="007B00E6"/>
    <w:rsid w:val="007C092E"/>
    <w:rsid w:val="007C7892"/>
    <w:rsid w:val="007D3FAC"/>
    <w:rsid w:val="007D4CE6"/>
    <w:rsid w:val="007D6ED1"/>
    <w:rsid w:val="007D726A"/>
    <w:rsid w:val="007D7F11"/>
    <w:rsid w:val="007F579C"/>
    <w:rsid w:val="0080080F"/>
    <w:rsid w:val="00814BA1"/>
    <w:rsid w:val="0081504C"/>
    <w:rsid w:val="00823998"/>
    <w:rsid w:val="008326E4"/>
    <w:rsid w:val="00854526"/>
    <w:rsid w:val="0086053E"/>
    <w:rsid w:val="00872CEB"/>
    <w:rsid w:val="0087346E"/>
    <w:rsid w:val="00887A1A"/>
    <w:rsid w:val="00887B82"/>
    <w:rsid w:val="0089102A"/>
    <w:rsid w:val="008925AE"/>
    <w:rsid w:val="008A3786"/>
    <w:rsid w:val="008A611E"/>
    <w:rsid w:val="008C2B56"/>
    <w:rsid w:val="008D65C8"/>
    <w:rsid w:val="008D6B6F"/>
    <w:rsid w:val="008E5FB5"/>
    <w:rsid w:val="0090711C"/>
    <w:rsid w:val="009071FD"/>
    <w:rsid w:val="0091217A"/>
    <w:rsid w:val="00913704"/>
    <w:rsid w:val="0092001F"/>
    <w:rsid w:val="00946F21"/>
    <w:rsid w:val="00956B72"/>
    <w:rsid w:val="009576FE"/>
    <w:rsid w:val="00963200"/>
    <w:rsid w:val="009676AE"/>
    <w:rsid w:val="009710A9"/>
    <w:rsid w:val="009723C9"/>
    <w:rsid w:val="00975C02"/>
    <w:rsid w:val="00980552"/>
    <w:rsid w:val="009852DF"/>
    <w:rsid w:val="0098596C"/>
    <w:rsid w:val="009A2F9A"/>
    <w:rsid w:val="009A5CCA"/>
    <w:rsid w:val="009A748B"/>
    <w:rsid w:val="009A7FA5"/>
    <w:rsid w:val="009B2ADD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0DCE"/>
    <w:rsid w:val="00A22D44"/>
    <w:rsid w:val="00A30EFF"/>
    <w:rsid w:val="00A332A8"/>
    <w:rsid w:val="00A33AE9"/>
    <w:rsid w:val="00A4250E"/>
    <w:rsid w:val="00A435C0"/>
    <w:rsid w:val="00A46BA5"/>
    <w:rsid w:val="00A534D2"/>
    <w:rsid w:val="00A56CD0"/>
    <w:rsid w:val="00A81F79"/>
    <w:rsid w:val="00A83B0A"/>
    <w:rsid w:val="00A85D9B"/>
    <w:rsid w:val="00A91C50"/>
    <w:rsid w:val="00A92218"/>
    <w:rsid w:val="00A939E7"/>
    <w:rsid w:val="00A966A6"/>
    <w:rsid w:val="00AA1CC0"/>
    <w:rsid w:val="00AA2089"/>
    <w:rsid w:val="00AA581E"/>
    <w:rsid w:val="00AA62E9"/>
    <w:rsid w:val="00AC6EDF"/>
    <w:rsid w:val="00AC7465"/>
    <w:rsid w:val="00AF095F"/>
    <w:rsid w:val="00AF229F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42267"/>
    <w:rsid w:val="00B5289E"/>
    <w:rsid w:val="00B648D9"/>
    <w:rsid w:val="00B73625"/>
    <w:rsid w:val="00B84CAE"/>
    <w:rsid w:val="00B85056"/>
    <w:rsid w:val="00B94B36"/>
    <w:rsid w:val="00B96CF4"/>
    <w:rsid w:val="00BA038D"/>
    <w:rsid w:val="00BA1224"/>
    <w:rsid w:val="00BB65E1"/>
    <w:rsid w:val="00BD2797"/>
    <w:rsid w:val="00BD5D00"/>
    <w:rsid w:val="00BE0D7F"/>
    <w:rsid w:val="00BF2A72"/>
    <w:rsid w:val="00BF790E"/>
    <w:rsid w:val="00C17301"/>
    <w:rsid w:val="00C331C4"/>
    <w:rsid w:val="00C352D3"/>
    <w:rsid w:val="00C54F8E"/>
    <w:rsid w:val="00C554E1"/>
    <w:rsid w:val="00C62BA3"/>
    <w:rsid w:val="00C63D02"/>
    <w:rsid w:val="00C81528"/>
    <w:rsid w:val="00C84867"/>
    <w:rsid w:val="00C92224"/>
    <w:rsid w:val="00C9554B"/>
    <w:rsid w:val="00C95BA5"/>
    <w:rsid w:val="00CA25CE"/>
    <w:rsid w:val="00CA3240"/>
    <w:rsid w:val="00CA50B1"/>
    <w:rsid w:val="00CB0271"/>
    <w:rsid w:val="00CB6A1F"/>
    <w:rsid w:val="00CC269A"/>
    <w:rsid w:val="00CC3F88"/>
    <w:rsid w:val="00CD1603"/>
    <w:rsid w:val="00CD1BDF"/>
    <w:rsid w:val="00CD1C30"/>
    <w:rsid w:val="00CD7A62"/>
    <w:rsid w:val="00CE70F0"/>
    <w:rsid w:val="00CF0FBC"/>
    <w:rsid w:val="00CF1F6B"/>
    <w:rsid w:val="00CF3712"/>
    <w:rsid w:val="00D02A2C"/>
    <w:rsid w:val="00D02C77"/>
    <w:rsid w:val="00D02D36"/>
    <w:rsid w:val="00D041CB"/>
    <w:rsid w:val="00D076A3"/>
    <w:rsid w:val="00D1690C"/>
    <w:rsid w:val="00D223E4"/>
    <w:rsid w:val="00D23A74"/>
    <w:rsid w:val="00D262CA"/>
    <w:rsid w:val="00D34286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DF11B3"/>
    <w:rsid w:val="00E01BDB"/>
    <w:rsid w:val="00E11270"/>
    <w:rsid w:val="00E20FFC"/>
    <w:rsid w:val="00E240B7"/>
    <w:rsid w:val="00E3492F"/>
    <w:rsid w:val="00E4253F"/>
    <w:rsid w:val="00E43391"/>
    <w:rsid w:val="00E469EA"/>
    <w:rsid w:val="00E50379"/>
    <w:rsid w:val="00E52268"/>
    <w:rsid w:val="00E5270A"/>
    <w:rsid w:val="00E566B8"/>
    <w:rsid w:val="00E85795"/>
    <w:rsid w:val="00E9429A"/>
    <w:rsid w:val="00E95BC4"/>
    <w:rsid w:val="00EA074F"/>
    <w:rsid w:val="00EA5A05"/>
    <w:rsid w:val="00EB2DA3"/>
    <w:rsid w:val="00EB3866"/>
    <w:rsid w:val="00EB4EF3"/>
    <w:rsid w:val="00EB7499"/>
    <w:rsid w:val="00EC29BA"/>
    <w:rsid w:val="00EC52F2"/>
    <w:rsid w:val="00F03D2D"/>
    <w:rsid w:val="00F04A5C"/>
    <w:rsid w:val="00F102B4"/>
    <w:rsid w:val="00F1687D"/>
    <w:rsid w:val="00F21401"/>
    <w:rsid w:val="00F257DD"/>
    <w:rsid w:val="00F32B0E"/>
    <w:rsid w:val="00F7002E"/>
    <w:rsid w:val="00F73AC4"/>
    <w:rsid w:val="00F95F7C"/>
    <w:rsid w:val="00FB04A1"/>
    <w:rsid w:val="00FB7405"/>
    <w:rsid w:val="00FC4CE5"/>
    <w:rsid w:val="00FD5EF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4587-BBC2-41E3-8A98-FF1A6CAB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1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292</cp:revision>
  <cp:lastPrinted>2024-01-24T06:35:00Z</cp:lastPrinted>
  <dcterms:created xsi:type="dcterms:W3CDTF">2019-01-15T05:22:00Z</dcterms:created>
  <dcterms:modified xsi:type="dcterms:W3CDTF">2024-01-24T06:37:00Z</dcterms:modified>
</cp:coreProperties>
</file>