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1B55DA" w:rsidTr="007A01F1">
        <w:tc>
          <w:tcPr>
            <w:tcW w:w="4927" w:type="dxa"/>
          </w:tcPr>
          <w:p w:rsidR="007A01F1" w:rsidRPr="001B55DA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1B55DA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1B55DA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5DA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1B55DA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B55D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1B55DA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1B55DA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A92218" w:rsidRPr="001B55DA">
              <w:rPr>
                <w:rFonts w:ascii="Times New Roman" w:hAnsi="Times New Roman"/>
                <w:sz w:val="18"/>
                <w:szCs w:val="18"/>
              </w:rPr>
              <w:t>16</w:t>
            </w:r>
            <w:r w:rsidRPr="001B55DA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1B55DA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1B55DA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1B55DA">
              <w:rPr>
                <w:rFonts w:ascii="Times New Roman" w:hAnsi="Times New Roman"/>
                <w:sz w:val="18"/>
                <w:szCs w:val="18"/>
              </w:rPr>
              <w:t>4</w:t>
            </w:r>
            <w:r w:rsidRPr="001B55DA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1B55DA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1B55DA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1B55DA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1B55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1B55D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Денсаулық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министрінің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2023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жылғы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7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маусымдағы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№ 110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бұйрығына</w:t>
            </w:r>
            <w:proofErr w:type="spellEnd"/>
            <w:r w:rsidR="003B606E" w:rsidRPr="001B55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жасалды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Тегін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кепілдік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берілген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шеңберінде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тергеу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изоляторлары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қылмысты</w:t>
            </w:r>
            <w:proofErr w:type="gram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қ-</w:t>
            </w:r>
            <w:proofErr w:type="gram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атқару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пенитенциарлық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жүйесінің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мекемелерінде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ұсталатын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адамдар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көмектің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қосымша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көлемін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бюджет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қаражаты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есебінен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әлеуметтік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сақтандыру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жүйесінде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арнайы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емдік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өнімдерді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қызметтерді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ұйымдастыру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қағидаларын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бекіту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» (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бұдан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ә</w:t>
            </w:r>
            <w:proofErr w:type="gram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і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Ережелер</w:t>
            </w:r>
            <w:proofErr w:type="spellEnd"/>
            <w:r w:rsidR="003B606E" w:rsidRPr="001B55DA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).</w:t>
            </w:r>
          </w:p>
          <w:p w:rsidR="007A01F1" w:rsidRPr="001B55DA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1B5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55DA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1B55DA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1B55DA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1B55DA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1B55DA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B55DA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1B55DA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1B55DA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1B55DA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1B55DA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1B55DA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1B55DA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55DA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1B55DA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1B55DA">
              <w:rPr>
                <w:rFonts w:cs="Times New Roman"/>
                <w:sz w:val="18"/>
                <w:szCs w:val="18"/>
              </w:rPr>
              <w:t xml:space="preserve">     «</w:t>
            </w:r>
            <w:r w:rsidR="00A92218" w:rsidRPr="001B55DA">
              <w:rPr>
                <w:rFonts w:cs="Times New Roman"/>
                <w:sz w:val="18"/>
                <w:szCs w:val="18"/>
              </w:rPr>
              <w:t>16</w:t>
            </w:r>
            <w:r w:rsidRPr="001B55DA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1B55DA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1B55DA">
              <w:rPr>
                <w:rFonts w:cs="Times New Roman"/>
                <w:sz w:val="18"/>
                <w:szCs w:val="18"/>
              </w:rPr>
              <w:t>202</w:t>
            </w:r>
            <w:r w:rsidR="00BE0D7F" w:rsidRPr="001B55DA">
              <w:rPr>
                <w:rFonts w:cs="Times New Roman"/>
                <w:sz w:val="18"/>
                <w:szCs w:val="18"/>
              </w:rPr>
              <w:t>4</w:t>
            </w:r>
            <w:r w:rsidRPr="001B55DA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1B55DA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1B55DA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1B55DA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1B55DA">
              <w:rPr>
                <w:color w:val="000000" w:themeColor="text1"/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1B55DA">
              <w:rPr>
                <w:color w:val="000000" w:themeColor="text1"/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1B55DA">
              <w:rPr>
                <w:rStyle w:val="s1"/>
                <w:b w:val="0"/>
                <w:sz w:val="18"/>
                <w:szCs w:val="18"/>
              </w:rPr>
              <w:t xml:space="preserve"> 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1B55DA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1B55DA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1B55DA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1B55DA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1B55D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977"/>
        <w:gridCol w:w="991"/>
        <w:gridCol w:w="1136"/>
        <w:gridCol w:w="1447"/>
        <w:gridCol w:w="1250"/>
      </w:tblGrid>
      <w:tr w:rsidR="002E0940" w:rsidRPr="001B55DA" w:rsidTr="00A92218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1B55DA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2E0940" w:rsidRPr="001B55DA" w:rsidRDefault="002E0940" w:rsidP="009852DF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A92218" w:rsidRPr="001B55DA" w:rsidTr="00A92218">
        <w:trPr>
          <w:trHeight w:val="50"/>
        </w:trPr>
        <w:tc>
          <w:tcPr>
            <w:tcW w:w="10636" w:type="dxa"/>
            <w:gridSpan w:val="7"/>
            <w:shd w:val="clear" w:color="auto" w:fill="E5DFEC" w:themeFill="accent4" w:themeFillTint="33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Лекарственные средства 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Ибупрофен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раствор для внутривенного введения 800 мг/8 мл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2 319,99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2 319 990,00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sz w:val="18"/>
                <w:szCs w:val="18"/>
              </w:rPr>
              <w:t>Тримеперидин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раствор для инъекций 2% по 1 мл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ампула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4 400,00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226,85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998 140,00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раствор для инъекций 2%, 5 мл (№ 5)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ампула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90,00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90 000,00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Антитромбин III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Порошок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лиофилизированный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для приготовления раствора для внутривенного введения в комплекте с растворителем (вода для инъекций), 500 МЕ, 10 мл, №1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55DA">
              <w:rPr>
                <w:rFonts w:cs="Times New Roman"/>
                <w:color w:val="000000"/>
                <w:sz w:val="18"/>
                <w:szCs w:val="18"/>
              </w:rPr>
              <w:t>87 387,27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4 369 363,50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sz w:val="18"/>
                <w:szCs w:val="18"/>
              </w:rPr>
              <w:t>Транексамовая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раствор для инъекций 500 мг/5 мл 5 мл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ампула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1 300,00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830,18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1 079 234,00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sz w:val="18"/>
                <w:szCs w:val="18"/>
              </w:rPr>
              <w:t>Пиперрациллин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тазобактам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порошок для приготовления раствора для инъекций 4,5 г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1 753,41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1 753 410,00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sz w:val="18"/>
                <w:szCs w:val="18"/>
              </w:rPr>
              <w:t>Хлорамфеникол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Порошок для приготовления раствора для инъекций, 1 г, №40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флакон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425,58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212 790,00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sz w:val="18"/>
                <w:szCs w:val="18"/>
              </w:rPr>
              <w:t>Нистатин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таблетки, покрытые оболочкой 500000 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>ЕД</w:t>
            </w:r>
            <w:proofErr w:type="gramEnd"/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таблетка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4 500,00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18,25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82 125,00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sz w:val="18"/>
                <w:szCs w:val="18"/>
              </w:rPr>
              <w:t>Тадалафил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Таблетки, покрытые пленочной оболочкой, 20 мг, №4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таблетка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320,00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1 170,20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374 464,00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sz w:val="18"/>
                <w:szCs w:val="18"/>
              </w:rPr>
              <w:t>Урапидил</w:t>
            </w:r>
            <w:proofErr w:type="spell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раствор для внутривенного введения 5 мг/мл, 5 мл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ампула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1 000,00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669,52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669 520,00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Папаверина гидрохлорид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>
            <w:pPr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раствор для инъекций 2% по 2 мл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ампула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2 000,00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42,00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>84 000,00</w:t>
            </w:r>
          </w:p>
        </w:tc>
      </w:tr>
      <w:tr w:rsidR="00A92218" w:rsidRPr="001B55DA" w:rsidTr="00A92218">
        <w:trPr>
          <w:trHeight w:val="274"/>
        </w:trPr>
        <w:tc>
          <w:tcPr>
            <w:tcW w:w="10636" w:type="dxa"/>
            <w:gridSpan w:val="7"/>
            <w:shd w:val="clear" w:color="auto" w:fill="E5DFEC" w:themeFill="accent4" w:themeFillTint="33"/>
            <w:noWrap/>
            <w:vAlign w:val="center"/>
          </w:tcPr>
          <w:p w:rsidR="00A92218" w:rsidRPr="001B55DA" w:rsidRDefault="00A92218" w:rsidP="00A92218">
            <w:pPr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Медицинские изделия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Шприц  инъекционный трехкомпонентный стерильный однократного применения объемами: 2 мл; с иглами 23Gx1"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штука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67 500,00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13,50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911 250,00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Шприц  инъекционный трехкомпонентный стерильный однократного применения объемами: 5 мл с иглами 22Gx11/2"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штука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152 000,00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14,90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2 264 800,00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Шприц инъекционный трехкомпонентный стерильный однократного применения объемами: 10 мл с иглами 21Gx11/2"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proofErr w:type="gramStart"/>
            <w:r w:rsidRPr="001B55DA">
              <w:rPr>
                <w:sz w:val="18"/>
                <w:szCs w:val="18"/>
              </w:rPr>
              <w:t>ш</w:t>
            </w:r>
            <w:proofErr w:type="gramEnd"/>
            <w:r w:rsidRPr="001B55DA">
              <w:rPr>
                <w:sz w:val="18"/>
                <w:szCs w:val="18"/>
              </w:rPr>
              <w:t>тука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150 000,00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22,70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3 405 000,00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spacing w:after="240"/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 xml:space="preserve">Шприц инъекционный трехкомпонентный стерильный однократного </w:t>
            </w:r>
            <w:proofErr w:type="spellStart"/>
            <w:r w:rsidRPr="001B55DA">
              <w:rPr>
                <w:sz w:val="18"/>
                <w:szCs w:val="18"/>
              </w:rPr>
              <w:t>применения</w:t>
            </w:r>
            <w:proofErr w:type="gramStart"/>
            <w:r w:rsidRPr="001B55DA">
              <w:rPr>
                <w:sz w:val="18"/>
                <w:szCs w:val="18"/>
              </w:rPr>
              <w:t>t</w:t>
            </w:r>
            <w:proofErr w:type="spellEnd"/>
            <w:proofErr w:type="gramEnd"/>
            <w:r w:rsidRPr="001B55DA">
              <w:rPr>
                <w:sz w:val="18"/>
                <w:szCs w:val="18"/>
              </w:rPr>
              <w:t xml:space="preserve"> объемами: 20 мл с иглами 20Gx 11/2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штука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58 000,00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31,47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1 825 260,00</w:t>
            </w:r>
          </w:p>
        </w:tc>
      </w:tr>
      <w:tr w:rsidR="00A92218" w:rsidRPr="001B55DA" w:rsidTr="00A92218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A92218" w:rsidRPr="001B55DA" w:rsidRDefault="00A92218" w:rsidP="009852D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Шприц инъекционный тре</w:t>
            </w:r>
            <w:proofErr w:type="gramStart"/>
            <w:r w:rsidRPr="001B55DA">
              <w:rPr>
                <w:sz w:val="18"/>
                <w:szCs w:val="18"/>
              </w:rPr>
              <w:t>х-</w:t>
            </w:r>
            <w:proofErr w:type="gramEnd"/>
            <w:r w:rsidRPr="001B55DA">
              <w:rPr>
                <w:sz w:val="18"/>
                <w:szCs w:val="18"/>
              </w:rPr>
              <w:t xml:space="preserve"> компонентный инсулиновый стерильный однократного применения  объемом 1 мл (100IU), модификации: со съемной иглой 30Gx1/2"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штука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5 500,00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17,32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A92218" w:rsidRPr="001B55DA" w:rsidRDefault="00A92218" w:rsidP="00A92218">
            <w:pPr>
              <w:jc w:val="center"/>
              <w:rPr>
                <w:sz w:val="18"/>
                <w:szCs w:val="18"/>
              </w:rPr>
            </w:pPr>
            <w:r w:rsidRPr="001B55DA">
              <w:rPr>
                <w:sz w:val="18"/>
                <w:szCs w:val="18"/>
              </w:rPr>
              <w:t>95 260,00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1B55DA" w:rsidTr="00CB0271">
        <w:tc>
          <w:tcPr>
            <w:tcW w:w="4927" w:type="dxa"/>
          </w:tcPr>
          <w:p w:rsidR="0091217A" w:rsidRPr="001B55DA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55DA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1B55DA" w:rsidRPr="001B55DA">
              <w:rPr>
                <w:rFonts w:cs="Times New Roman"/>
                <w:sz w:val="18"/>
                <w:szCs w:val="18"/>
              </w:rPr>
              <w:t>20 534 606,50 (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жиырма</w:t>
            </w:r>
            <w:proofErr w:type="spellEnd"/>
            <w:r w:rsidR="001B55DA" w:rsidRPr="001B55DA">
              <w:rPr>
                <w:rFonts w:cs="Times New Roman"/>
                <w:sz w:val="18"/>
                <w:szCs w:val="18"/>
              </w:rPr>
              <w:t xml:space="preserve"> миллион бес 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1B55DA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отыз</w:t>
            </w:r>
            <w:proofErr w:type="spellEnd"/>
            <w:r w:rsidR="001B55DA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1B55DA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1B55DA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1B55DA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1B55DA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1B55DA" w:rsidRPr="001B55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1B55DA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елу</w:t>
            </w:r>
            <w:proofErr w:type="spellEnd"/>
            <w:r w:rsidR="001B55DA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1B55DA" w:rsidRPr="001B55DA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F102B4" w:rsidRPr="001B55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55DA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1B55DA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55DA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>:</w:t>
            </w:r>
            <w:r w:rsidRPr="001B55DA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55DA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1B55DA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1B55DA">
              <w:rPr>
                <w:rFonts w:cs="Times New Roman"/>
                <w:sz w:val="18"/>
                <w:szCs w:val="18"/>
              </w:rPr>
              <w:t>23</w:t>
            </w:r>
            <w:r w:rsidR="007A01F1" w:rsidRPr="001B55DA">
              <w:rPr>
                <w:rFonts w:cs="Times New Roman"/>
                <w:sz w:val="18"/>
                <w:szCs w:val="18"/>
              </w:rPr>
              <w:t>.</w:t>
            </w:r>
            <w:r w:rsidR="000155AC" w:rsidRPr="001B55DA">
              <w:rPr>
                <w:rFonts w:cs="Times New Roman"/>
                <w:sz w:val="18"/>
                <w:szCs w:val="18"/>
              </w:rPr>
              <w:t>0</w:t>
            </w:r>
            <w:r w:rsidR="00256BDF" w:rsidRPr="001B55DA">
              <w:rPr>
                <w:rFonts w:cs="Times New Roman"/>
                <w:sz w:val="18"/>
                <w:szCs w:val="18"/>
              </w:rPr>
              <w:t>1</w:t>
            </w:r>
            <w:r w:rsidR="007A01F1" w:rsidRPr="001B55DA">
              <w:rPr>
                <w:rFonts w:cs="Times New Roman"/>
                <w:sz w:val="18"/>
                <w:szCs w:val="18"/>
              </w:rPr>
              <w:t>.202</w:t>
            </w:r>
            <w:r w:rsidR="000155AC" w:rsidRPr="001B55DA">
              <w:rPr>
                <w:rFonts w:cs="Times New Roman"/>
                <w:sz w:val="18"/>
                <w:szCs w:val="18"/>
              </w:rPr>
              <w:t>4</w:t>
            </w:r>
            <w:r w:rsidR="00A33AE9" w:rsidRPr="001B55DA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1B55DA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1B55DA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1B55DA">
              <w:rPr>
                <w:rFonts w:cs="Times New Roman"/>
                <w:sz w:val="18"/>
                <w:szCs w:val="18"/>
              </w:rPr>
              <w:t>09</w:t>
            </w:r>
            <w:r w:rsidR="00A33AE9" w:rsidRPr="001B55DA">
              <w:rPr>
                <w:rFonts w:cs="Times New Roman"/>
                <w:sz w:val="18"/>
                <w:szCs w:val="18"/>
              </w:rPr>
              <w:t>: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55DA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1B55DA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1B55DA">
              <w:rPr>
                <w:rFonts w:cs="Times New Roman"/>
                <w:sz w:val="18"/>
                <w:szCs w:val="18"/>
              </w:rPr>
              <w:t>23</w:t>
            </w:r>
            <w:r w:rsidR="007A01F1" w:rsidRPr="001B55DA">
              <w:rPr>
                <w:rFonts w:cs="Times New Roman"/>
                <w:sz w:val="18"/>
                <w:szCs w:val="18"/>
              </w:rPr>
              <w:t>.</w:t>
            </w:r>
            <w:r w:rsidR="000155AC" w:rsidRPr="001B55DA">
              <w:rPr>
                <w:rFonts w:cs="Times New Roman"/>
                <w:sz w:val="18"/>
                <w:szCs w:val="18"/>
              </w:rPr>
              <w:t>0</w:t>
            </w:r>
            <w:r w:rsidR="00256BDF" w:rsidRPr="001B55DA">
              <w:rPr>
                <w:rFonts w:cs="Times New Roman"/>
                <w:sz w:val="18"/>
                <w:szCs w:val="18"/>
              </w:rPr>
              <w:t>1</w:t>
            </w:r>
            <w:r w:rsidR="007A01F1" w:rsidRPr="001B55DA">
              <w:rPr>
                <w:rFonts w:cs="Times New Roman"/>
                <w:sz w:val="18"/>
                <w:szCs w:val="18"/>
              </w:rPr>
              <w:t>.202</w:t>
            </w:r>
            <w:r w:rsidR="000155AC" w:rsidRPr="001B55DA">
              <w:rPr>
                <w:rFonts w:cs="Times New Roman"/>
                <w:sz w:val="18"/>
                <w:szCs w:val="18"/>
              </w:rPr>
              <w:t>4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1B55DA">
              <w:rPr>
                <w:rFonts w:cs="Times New Roman"/>
                <w:sz w:val="18"/>
                <w:szCs w:val="18"/>
              </w:rPr>
              <w:t>10</w:t>
            </w:r>
            <w:r w:rsidR="007A01F1" w:rsidRPr="001B55DA">
              <w:rPr>
                <w:rFonts w:cs="Times New Roman"/>
                <w:sz w:val="18"/>
                <w:szCs w:val="18"/>
              </w:rPr>
              <w:t>:</w:t>
            </w:r>
            <w:r w:rsidR="00B42267" w:rsidRPr="001B55DA">
              <w:rPr>
                <w:rFonts w:cs="Times New Roman"/>
                <w:sz w:val="18"/>
                <w:szCs w:val="18"/>
              </w:rPr>
              <w:t>00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1B55DA" w:rsidRDefault="00C92224" w:rsidP="00F65F5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1B55DA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1B55D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міндетті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556F2B" w:rsidRPr="001B55DA" w:rsidRDefault="00556F2B" w:rsidP="00556F2B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Мәміле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жасау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кезінде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тендерлік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құжаттамада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қолды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факсимильді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көшіру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құралдарын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пайдалану</w:t>
            </w:r>
            <w:proofErr w:type="gram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ға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жол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берілмейді</w:t>
            </w:r>
            <w:proofErr w:type="spellEnd"/>
            <w:r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AF229F" w:rsidRPr="001B55DA" w:rsidRDefault="00EC52F2" w:rsidP="00F65F58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ұсынудың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соңғы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мерзімі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аяқталғанға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дейін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мөрленген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түрде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ғана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Конвертте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Қағидаларға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белгілеген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мерзімдерде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лицензиялау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рәсімі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рұқсат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беру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органдары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әрекеттерді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операцияларды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тұлғаның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құқықтарын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ұқсат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ұсынылатын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дәрілік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заттардың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осы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сондай-ақ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көрсетілетін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қызметтердің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сипаттамасы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көлеміне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бұйымдар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жатады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1B55DA" w:rsidRDefault="00E469EA" w:rsidP="00F2140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ұсынуы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5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нысан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бойынша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дә</w:t>
            </w:r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ілік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заттарды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жеткізуді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сұрау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салу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талаптарын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үлгілік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арналған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шартты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сақтай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отырып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қызметтер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көрсетуге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келісі</w:t>
            </w:r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м</w:t>
            </w:r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ін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білдіру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нысаны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табылады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Ең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төмен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ба</w:t>
            </w:r>
            <w:proofErr w:type="gram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ға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жеңімпаз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="00AF229F"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1B55DA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AF229F" w:rsidRPr="001B55DA" w:rsidRDefault="00AF229F" w:rsidP="00AF229F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бірдей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жағдайларда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інші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256BDF" w:rsidRPr="001B55DA" w:rsidRDefault="00AF229F" w:rsidP="00E52268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сұрату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құжаттары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80-тармағына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ұсынылған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бі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қатысқан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ұйымдастырушы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осындай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жеңімпазы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тану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шешім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қабылдайды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="00F21401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</w:p>
          <w:p w:rsidR="007A01F1" w:rsidRPr="001B55DA" w:rsidRDefault="00256BDF" w:rsidP="00AF229F">
            <w:pPr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берушіге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ұйымдастырушыға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танылған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күнтізбелік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10 (он)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күн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Қағидаларда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көзделген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шарттарға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сәйкестігін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растайтын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мынадай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құжаттарды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="00AF229F" w:rsidRPr="001B55DA">
              <w:rPr>
                <w:rFonts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CB0271" w:rsidRPr="001B55DA" w:rsidRDefault="00E469EA" w:rsidP="00CB0271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CB0271"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1)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"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рұқсаттар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туралы"Заңға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жіберілген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құжат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індегі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көшірмелері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олар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расталады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органдардың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ақпараттық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жүйелерінде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болмаған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кезде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фармацевтикалық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есірткі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құралдарының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психотроптық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заттар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прекурсорлардың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айналымы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саласындағы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тиі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лицензияның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заңға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медициналық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бұйымдарды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көтерме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бөлшек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саудада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өткізу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жөніндегі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басталғаны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тоқтатылғаны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хабарламаның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нотариат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куәландырған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көшірмесін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ұсынады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ұқсаттар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мен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хабарламалар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";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құрмай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асыруға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құқық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беретін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құжаттың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3)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қайта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тіркеу</w:t>
            </w:r>
            <w:proofErr w:type="spellEnd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анықтама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куәліктің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паспорттың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кәсіпкерлік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қызметті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жүзеге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асыратын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үшін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заңды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тұлға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жарғысының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жарғыда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акционерлердің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көрсетілмесе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онда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акцияларды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ұстаушылар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тізілімінен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құрылтайшылардың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қатысушылардың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құрамы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үзінді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жарияланған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кейін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құрылтай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көшірмесі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ұсынылады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);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5) "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Электрондық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үкімет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" веб-порталы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"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төлеуші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кабинеті"веб-қосымшасы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арқылы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алынған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мемлекеттік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іріс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органдарында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есепке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жүргізілетін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берешектің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жоқ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(бар)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екендігі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мәліметтер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;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6) осы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берушінің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табылмайтындығы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Республикасы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органының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анықтамасының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тү</w:t>
            </w:r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пн</w:t>
            </w:r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ұсқасы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егер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әлеуетті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өнім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резиденті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болып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табылмаса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және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Қазақстан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Республикасының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салық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төлеушісі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ретінде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тіркелмесе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).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осы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Қағидалардың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шарттарына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сәйкес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келмеген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жағдайда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баға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ұсыныстары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тәсілімен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өтпеді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деп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танылады</w:t>
            </w:r>
            <w:proofErr w:type="spellEnd"/>
          </w:p>
          <w:p w:rsidR="007A01F1" w:rsidRPr="001B55DA" w:rsidRDefault="00E469EA" w:rsidP="00E469EA">
            <w:pPr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Жеңімпаз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алған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күннен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бастап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бес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жұмыс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күні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ішінде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шартына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қояды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не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Тапсырыс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берушіні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алуды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ұйымдастырушыны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оның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шарттарымен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келіспегені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немесе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қол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қоюдан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тартқаны</w:t>
            </w:r>
            <w:proofErr w:type="spellEnd"/>
            <w:proofErr w:type="gram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туралы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жазбаша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хабардар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етеді</w:t>
            </w:r>
            <w:proofErr w:type="spellEnd"/>
            <w:r w:rsidRPr="001B55DA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  <w:p w:rsidR="00E469EA" w:rsidRPr="001B55DA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1B55DA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lastRenderedPageBreak/>
              <w:t>күнінен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1B55DA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1B55DA" w:rsidRPr="001B55DA">
              <w:rPr>
                <w:rFonts w:cs="Times New Roman"/>
                <w:sz w:val="18"/>
                <w:szCs w:val="18"/>
              </w:rPr>
              <w:t xml:space="preserve">20 534 606,50 </w:t>
            </w:r>
            <w:r w:rsidRPr="001B55DA">
              <w:rPr>
                <w:rFonts w:cs="Times New Roman"/>
                <w:sz w:val="18"/>
                <w:szCs w:val="18"/>
              </w:rPr>
              <w:t>(</w:t>
            </w:r>
            <w:r w:rsidR="001B55DA" w:rsidRPr="001B55DA">
              <w:rPr>
                <w:rFonts w:cs="Times New Roman"/>
                <w:sz w:val="18"/>
                <w:szCs w:val="18"/>
              </w:rPr>
              <w:t>двадцать миллионов пятьсот тридцать четыре тысячи шестьсот шесть</w:t>
            </w:r>
            <w:r w:rsidRPr="001B55DA">
              <w:rPr>
                <w:rFonts w:cs="Times New Roman"/>
                <w:sz w:val="18"/>
                <w:szCs w:val="18"/>
              </w:rPr>
              <w:t>) тенге</w:t>
            </w:r>
            <w:r w:rsidR="00F102B4" w:rsidRPr="001B55DA">
              <w:rPr>
                <w:rFonts w:cs="Times New Roman"/>
                <w:sz w:val="18"/>
                <w:szCs w:val="18"/>
              </w:rPr>
              <w:t xml:space="preserve"> </w:t>
            </w:r>
            <w:r w:rsidR="001B55DA" w:rsidRPr="001B55DA">
              <w:rPr>
                <w:rFonts w:cs="Times New Roman"/>
                <w:sz w:val="18"/>
                <w:szCs w:val="18"/>
              </w:rPr>
              <w:t>пятьдесят</w:t>
            </w:r>
            <w:r w:rsidR="00F102B4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102B4" w:rsidRPr="001B55DA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55DA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1B55DA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1B55DA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1B55DA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1B55DA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1B55DA">
              <w:rPr>
                <w:b/>
                <w:color w:val="000000"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1B55DA">
              <w:rPr>
                <w:b/>
                <w:sz w:val="18"/>
                <w:szCs w:val="18"/>
              </w:rPr>
              <w:t xml:space="preserve"> </w:t>
            </w:r>
            <w:r w:rsidRPr="001B55DA">
              <w:rPr>
                <w:b/>
                <w:color w:val="000000"/>
                <w:sz w:val="18"/>
                <w:szCs w:val="18"/>
              </w:rPr>
              <w:t>предложений</w:t>
            </w:r>
            <w:r w:rsidR="007A01F1" w:rsidRPr="001B55DA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1B55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1B55DA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1B55DA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1B55DA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1B55DA">
              <w:rPr>
                <w:rFonts w:cs="Times New Roman"/>
                <w:sz w:val="18"/>
                <w:szCs w:val="18"/>
              </w:rPr>
              <w:t>23</w:t>
            </w:r>
            <w:r w:rsidR="007A01F1" w:rsidRPr="001B55DA">
              <w:rPr>
                <w:rFonts w:cs="Times New Roman"/>
                <w:sz w:val="18"/>
                <w:szCs w:val="18"/>
              </w:rPr>
              <w:t>.</w:t>
            </w:r>
            <w:r w:rsidR="000155AC" w:rsidRPr="001B55DA">
              <w:rPr>
                <w:rFonts w:cs="Times New Roman"/>
                <w:sz w:val="18"/>
                <w:szCs w:val="18"/>
              </w:rPr>
              <w:t>0</w:t>
            </w:r>
            <w:r w:rsidR="00256BDF" w:rsidRPr="001B55DA">
              <w:rPr>
                <w:rFonts w:cs="Times New Roman"/>
                <w:sz w:val="18"/>
                <w:szCs w:val="18"/>
              </w:rPr>
              <w:t>1</w:t>
            </w:r>
            <w:r w:rsidR="007A01F1" w:rsidRPr="001B55DA">
              <w:rPr>
                <w:rFonts w:cs="Times New Roman"/>
                <w:sz w:val="18"/>
                <w:szCs w:val="18"/>
              </w:rPr>
              <w:t>.202</w:t>
            </w:r>
            <w:r w:rsidR="000155AC" w:rsidRPr="001B55DA">
              <w:rPr>
                <w:rFonts w:cs="Times New Roman"/>
                <w:sz w:val="18"/>
                <w:szCs w:val="18"/>
              </w:rPr>
              <w:t>4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1B55DA">
              <w:rPr>
                <w:rFonts w:cs="Times New Roman"/>
                <w:sz w:val="18"/>
                <w:szCs w:val="18"/>
              </w:rPr>
              <w:t>09</w:t>
            </w:r>
            <w:r w:rsidR="007A01F1" w:rsidRPr="001B55DA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1B55DA">
              <w:rPr>
                <w:b/>
                <w:color w:val="000000"/>
                <w:sz w:val="18"/>
                <w:szCs w:val="18"/>
              </w:rPr>
              <w:t>рассмотрения</w:t>
            </w:r>
            <w:r w:rsidR="0017111C" w:rsidRPr="001B55DA">
              <w:rPr>
                <w:color w:val="000000"/>
                <w:sz w:val="18"/>
                <w:szCs w:val="18"/>
              </w:rPr>
              <w:t xml:space="preserve"> </w:t>
            </w:r>
            <w:r w:rsidRPr="001B55DA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1B55DA">
              <w:rPr>
                <w:rFonts w:cs="Times New Roman"/>
                <w:sz w:val="18"/>
                <w:szCs w:val="18"/>
              </w:rPr>
              <w:t xml:space="preserve">: дата </w:t>
            </w:r>
            <w:r w:rsidR="001B55DA">
              <w:rPr>
                <w:rFonts w:cs="Times New Roman"/>
                <w:sz w:val="18"/>
                <w:szCs w:val="18"/>
              </w:rPr>
              <w:t>23</w:t>
            </w:r>
            <w:r w:rsidRPr="001B55DA">
              <w:rPr>
                <w:rFonts w:cs="Times New Roman"/>
                <w:sz w:val="18"/>
                <w:szCs w:val="18"/>
              </w:rPr>
              <w:t>.</w:t>
            </w:r>
            <w:r w:rsidR="000155AC" w:rsidRPr="001B55DA">
              <w:rPr>
                <w:rFonts w:cs="Times New Roman"/>
                <w:sz w:val="18"/>
                <w:szCs w:val="18"/>
              </w:rPr>
              <w:t>01</w:t>
            </w:r>
            <w:r w:rsidRPr="001B55DA">
              <w:rPr>
                <w:rFonts w:cs="Times New Roman"/>
                <w:sz w:val="18"/>
                <w:szCs w:val="18"/>
              </w:rPr>
              <w:t>.202</w:t>
            </w:r>
            <w:r w:rsidR="000155AC" w:rsidRPr="001B55DA">
              <w:rPr>
                <w:rFonts w:cs="Times New Roman"/>
                <w:sz w:val="18"/>
                <w:szCs w:val="18"/>
              </w:rPr>
              <w:t>4</w:t>
            </w:r>
            <w:r w:rsidRPr="001B55DA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1B55DA">
              <w:rPr>
                <w:rFonts w:cs="Times New Roman"/>
                <w:sz w:val="18"/>
                <w:szCs w:val="18"/>
              </w:rPr>
              <w:t>10</w:t>
            </w:r>
            <w:r w:rsidRPr="001B55DA">
              <w:rPr>
                <w:rFonts w:cs="Times New Roman"/>
                <w:sz w:val="18"/>
                <w:szCs w:val="18"/>
              </w:rPr>
              <w:t>:</w:t>
            </w:r>
            <w:r w:rsidR="00B42267" w:rsidRPr="001B55DA">
              <w:rPr>
                <w:rFonts w:cs="Times New Roman"/>
                <w:sz w:val="18"/>
                <w:szCs w:val="18"/>
              </w:rPr>
              <w:t>00</w:t>
            </w:r>
            <w:r w:rsidRPr="001B55DA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55DA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B55DA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B55DA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1B55DA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1B55DA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1B55DA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1B55DA">
              <w:rPr>
                <w:rFonts w:cs="Times New Roman"/>
                <w:b/>
                <w:color w:val="000000"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1B55DA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1B55DA">
              <w:rPr>
                <w:color w:val="000000"/>
                <w:sz w:val="18"/>
                <w:szCs w:val="18"/>
              </w:rPr>
              <w:t xml:space="preserve">             </w:t>
            </w:r>
            <w:r w:rsidR="0017111C" w:rsidRPr="001B55DA">
              <w:rPr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1B55DA">
              <w:rPr>
                <w:color w:val="000000"/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1B55DA">
              <w:rPr>
                <w:color w:val="000000"/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1B55D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1B55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1B55DA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1B55DA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1B55DA">
              <w:rPr>
                <w:rFonts w:cs="Times New Roman"/>
                <w:sz w:val="18"/>
                <w:szCs w:val="18"/>
              </w:rPr>
              <w:t xml:space="preserve">.    </w:t>
            </w:r>
            <w:r w:rsidRPr="001B55DA">
              <w:rPr>
                <w:rFonts w:cs="Times New Roman"/>
                <w:sz w:val="18"/>
                <w:szCs w:val="18"/>
              </w:rPr>
              <w:lastRenderedPageBreak/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1B55DA" w:rsidRDefault="000E02BE" w:rsidP="00F65F58">
            <w:pPr>
              <w:ind w:firstLine="708"/>
              <w:jc w:val="both"/>
              <w:rPr>
                <w:color w:val="000000"/>
                <w:sz w:val="18"/>
                <w:szCs w:val="18"/>
              </w:rPr>
            </w:pPr>
            <w:r w:rsidRPr="001B55DA">
              <w:rPr>
                <w:color w:val="000000"/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1B55DA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1B55DA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1B55DA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1B55DA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1B55DA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1B55DA">
              <w:rPr>
                <w:sz w:val="18"/>
                <w:szCs w:val="18"/>
              </w:rPr>
              <w:t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1B55DA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55DA">
              <w:rPr>
                <w:b/>
                <w:color w:val="000000"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1B55DA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1B55DA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1B55DA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1B55DA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1B55DA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1B55DA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1B55DA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1B55DA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1B55DA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1B55DA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1B55DA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1B55DA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1B55DA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1B55DA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1B55DA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1B55DA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1B55DA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1B55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1B55DA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1B55DA">
              <w:rPr>
                <w:sz w:val="18"/>
                <w:szCs w:val="18"/>
              </w:rPr>
              <w:t xml:space="preserve">несоответствии </w:t>
            </w:r>
            <w:r w:rsidR="00AF229F" w:rsidRPr="001B55DA">
              <w:rPr>
                <w:color w:val="000000"/>
                <w:sz w:val="18"/>
                <w:szCs w:val="18"/>
              </w:rPr>
              <w:t>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1B55DA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</w:p>
          <w:p w:rsidR="007A01F1" w:rsidRPr="001B55DA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1B55DA">
              <w:rPr>
                <w:rFonts w:cs="Times New Roman"/>
                <w:sz w:val="18"/>
                <w:szCs w:val="18"/>
              </w:rPr>
              <w:t>рабочих</w:t>
            </w:r>
            <w:r w:rsidRPr="001B55DA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1B55DA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1B55DA">
              <w:rPr>
                <w:color w:val="000000"/>
                <w:sz w:val="18"/>
                <w:szCs w:val="18"/>
              </w:rPr>
              <w:t xml:space="preserve"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</w:t>
            </w:r>
            <w:r w:rsidRPr="001B55DA">
              <w:rPr>
                <w:color w:val="000000"/>
                <w:sz w:val="18"/>
                <w:szCs w:val="18"/>
              </w:rPr>
              <w:lastRenderedPageBreak/>
              <w:t>заключения договора). Срок рассмотрения отказа не превышает 2 (двух) рабочих дней.</w:t>
            </w:r>
          </w:p>
          <w:bookmarkEnd w:id="13"/>
          <w:p w:rsidR="007A01F1" w:rsidRPr="001B55DA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1B55DA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1B55DA" w:rsidTr="00F65F58">
        <w:tc>
          <w:tcPr>
            <w:tcW w:w="3085" w:type="dxa"/>
            <w:vAlign w:val="center"/>
          </w:tcPr>
          <w:p w:rsidR="007A01F1" w:rsidRPr="001B55DA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1B55DA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1B55DA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1B55DA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1B55DA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1B55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1B55DA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B55DA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1B55DA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1B55DA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1B55DA" w:rsidRDefault="0080080F" w:rsidP="0048597F">
      <w:pPr>
        <w:rPr>
          <w:rFonts w:cs="Times New Roman"/>
          <w:sz w:val="16"/>
          <w:szCs w:val="16"/>
        </w:rPr>
      </w:pPr>
      <w:r w:rsidRPr="001B55DA">
        <w:rPr>
          <w:rFonts w:cs="Times New Roman"/>
          <w:i/>
          <w:sz w:val="16"/>
          <w:szCs w:val="16"/>
        </w:rPr>
        <w:t>8-727-278-04-44</w:t>
      </w:r>
    </w:p>
    <w:sectPr w:rsidR="0086053E" w:rsidRPr="001B55D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55AC"/>
    <w:rsid w:val="00020133"/>
    <w:rsid w:val="00023FC3"/>
    <w:rsid w:val="00026F71"/>
    <w:rsid w:val="00034096"/>
    <w:rsid w:val="00047263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D3FAC"/>
    <w:rsid w:val="007D4CE6"/>
    <w:rsid w:val="007D6ED1"/>
    <w:rsid w:val="007D726A"/>
    <w:rsid w:val="007D7F11"/>
    <w:rsid w:val="007F579C"/>
    <w:rsid w:val="0080080F"/>
    <w:rsid w:val="00814BA1"/>
    <w:rsid w:val="00823998"/>
    <w:rsid w:val="008326E4"/>
    <w:rsid w:val="00854526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EC52F2"/>
    <w:rsid w:val="00F03D2D"/>
    <w:rsid w:val="00F04A5C"/>
    <w:rsid w:val="00F102B4"/>
    <w:rsid w:val="00F1687D"/>
    <w:rsid w:val="00F21401"/>
    <w:rsid w:val="00F257DD"/>
    <w:rsid w:val="00F32B0E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DD11-33A6-40F6-B2C1-CBB74038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4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279</cp:revision>
  <cp:lastPrinted>2024-01-16T05:23:00Z</cp:lastPrinted>
  <dcterms:created xsi:type="dcterms:W3CDTF">2019-01-15T05:22:00Z</dcterms:created>
  <dcterms:modified xsi:type="dcterms:W3CDTF">2024-01-16T05:29:00Z</dcterms:modified>
</cp:coreProperties>
</file>