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FD227B">
              <w:rPr>
                <w:rFonts w:ascii="Times New Roman" w:hAnsi="Times New Roman"/>
                <w:sz w:val="18"/>
                <w:szCs w:val="18"/>
              </w:rPr>
              <w:t>30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FD227B">
              <w:rPr>
                <w:rFonts w:cs="Times New Roman"/>
                <w:sz w:val="18"/>
                <w:szCs w:val="18"/>
              </w:rPr>
              <w:t>30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004B83" w:rsidRDefault="00004B83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tbl>
      <w:tblPr>
        <w:tblW w:w="11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686"/>
        <w:gridCol w:w="3608"/>
        <w:gridCol w:w="1509"/>
        <w:gridCol w:w="1300"/>
        <w:gridCol w:w="1444"/>
        <w:gridCol w:w="1343"/>
      </w:tblGrid>
      <w:tr w:rsidR="00FD227B" w:rsidRPr="00004B83" w:rsidTr="00AE797E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D227B" w:rsidRPr="00F66D94" w:rsidRDefault="00FD227B" w:rsidP="00544DB9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FD227B" w:rsidRPr="00F66D94" w:rsidRDefault="00FD227B" w:rsidP="00544DB9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FD227B" w:rsidRPr="00F66D94" w:rsidRDefault="00FD227B" w:rsidP="00544DB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3608" w:type="dxa"/>
            <w:vAlign w:val="center"/>
          </w:tcPr>
          <w:p w:rsidR="00FD227B" w:rsidRPr="00F66D94" w:rsidRDefault="00FD227B" w:rsidP="00544DB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FD227B" w:rsidRPr="00F66D94" w:rsidRDefault="00FD227B" w:rsidP="00544DB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D227B" w:rsidRPr="00F66D94" w:rsidRDefault="00FD227B" w:rsidP="00544DB9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227B" w:rsidRPr="00F66D94" w:rsidRDefault="00FD227B" w:rsidP="00544DB9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D227B" w:rsidRPr="00F66D94" w:rsidRDefault="00FD227B" w:rsidP="00544DB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77970" w:rsidRPr="00004B83" w:rsidTr="00A5065E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Трубка пациента для Инжектора ангиографического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дла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КТ и МРТ поколения XD 200X, модель КТ/МРТ-инжектор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mississipi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XD2000. 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Трубка пациента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mississippi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XD 2000. (производитель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Ulrich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Германия) Характеристика трубки пациента длина трубки 250см, 2 клапана, предотвращающих обратный ток жидкости; прочность по выдерживанию давления; совместимость с КВ;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Апирогенная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>; Без латекса. Стерильно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250,00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2 650,00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662 500,00</w:t>
            </w:r>
          </w:p>
        </w:tc>
      </w:tr>
      <w:tr w:rsidR="00077970" w:rsidRPr="00004B83" w:rsidTr="00A5065E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Рентген пленка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синечувчтвительная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30х40 см, №100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Рентген пленка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синечувчтвительная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30х40 см, №100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5,00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44 900,00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224 500,00</w:t>
            </w:r>
          </w:p>
        </w:tc>
      </w:tr>
      <w:tr w:rsidR="00077970" w:rsidRPr="00004B83" w:rsidTr="00A5065E">
        <w:trPr>
          <w:trHeight w:val="1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Рентген пленка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синечувчтвительная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35*35см, №100 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Рентген пленка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синечувчтвительная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35*35см, №100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5,00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46 900,00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234 500,00</w:t>
            </w:r>
          </w:p>
        </w:tc>
      </w:tr>
      <w:tr w:rsidR="00077970" w:rsidRPr="00004B83" w:rsidTr="00A5065E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Термографическая пленка для DRYSTAR 35*43 № 100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Термографическая пленка для DRYSTAR 35*43 № 100, для термографического принтера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Agfa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DryStar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упаковка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20,00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117 650,00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2 353 000,00</w:t>
            </w:r>
          </w:p>
        </w:tc>
      </w:tr>
      <w:tr w:rsidR="00077970" w:rsidRPr="00004B83" w:rsidTr="00A5065E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размером 30смх200м,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прозрачной 2-х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материала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-н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епрозрачная сторона, 100% высокоплотный полиэтилен.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55,00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30 100,00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1 655 500,00</w:t>
            </w:r>
          </w:p>
        </w:tc>
      </w:tr>
      <w:tr w:rsidR="00077970" w:rsidRPr="00004B83" w:rsidTr="00A5065E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25смх200м.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 xml:space="preserve">Изготовлены из прозрачной 2-х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</w:t>
            </w:r>
            <w:r w:rsidRPr="000F74CB">
              <w:rPr>
                <w:rFonts w:cs="Times New Roman"/>
                <w:sz w:val="16"/>
                <w:szCs w:val="16"/>
              </w:rPr>
              <w:lastRenderedPageBreak/>
              <w:t>материала - непрозрачная сторона, 100% высокоплотный полиэтилен.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65,00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16 460,00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1 069 900,00</w:t>
            </w:r>
          </w:p>
        </w:tc>
      </w:tr>
      <w:tr w:rsidR="00077970" w:rsidRPr="00004B83" w:rsidTr="00A5065E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40смх200м,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прозрачной 2-х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материала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-н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епрозрачная сторона, 100% высокоплотный полиэтилен.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45,00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40 200,00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1 809 000,00</w:t>
            </w:r>
          </w:p>
        </w:tc>
      </w:tr>
      <w:tr w:rsidR="00077970" w:rsidRPr="00004B83" w:rsidTr="00A5065E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20смх200м, в кор.4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 xml:space="preserve">Изготовлены из прозрачной 2-х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материала - непрозрачная сторона, 100% высокоплотный полиэтилен.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55,00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20 000,00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1 100 000,00</w:t>
            </w:r>
          </w:p>
        </w:tc>
      </w:tr>
      <w:tr w:rsidR="00077970" w:rsidRPr="00004B83" w:rsidTr="00A5065E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7,5смх200м, в кор.8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 xml:space="preserve">Изготовлены из прозрачной 2-х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</w:t>
            </w:r>
            <w:bookmarkStart w:id="0" w:name="_GoBack"/>
            <w:bookmarkEnd w:id="0"/>
            <w:r w:rsidRPr="000F74CB">
              <w:rPr>
                <w:rFonts w:cs="Times New Roman"/>
                <w:sz w:val="16"/>
                <w:szCs w:val="16"/>
              </w:rPr>
              <w:t xml:space="preserve">я сторона и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материала - непрозрачная сторона, 100% высокоплотный полиэтилен.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40,00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5 450,00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218 000,00</w:t>
            </w:r>
          </w:p>
        </w:tc>
      </w:tr>
      <w:tr w:rsidR="00077970" w:rsidRPr="00004B83" w:rsidTr="00A5065E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5смх200м, в кор.12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 xml:space="preserve">Изготовлены из прозрачной 2-х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материала - непрозрачная сторона, 100% высокоплотный полиэтилен.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24,00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5 800,00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139 200,00</w:t>
            </w:r>
          </w:p>
        </w:tc>
      </w:tr>
      <w:tr w:rsidR="00077970" w:rsidRPr="00004B83" w:rsidTr="00A5065E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рулонах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>: гладкий, 10см х200м, для газового и парового стерилизатора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Упаковочный материал для стерилизации  в рулонах: плоский,  размером 10смх200м, в кор.6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этиленоксидном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паровом, формальдегидном методах стерилизации. Изготовлены из прозрачной 2-х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слойной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(полиэфир/полиэтилен) пленки - прозрачная сторона и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нетканного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материала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-н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епрозрачная сторона, 100% </w:t>
            </w:r>
            <w:r w:rsidRPr="000F74CB">
              <w:rPr>
                <w:rFonts w:cs="Times New Roman"/>
                <w:sz w:val="16"/>
                <w:szCs w:val="16"/>
              </w:rPr>
              <w:lastRenderedPageBreak/>
              <w:t xml:space="preserve">высокоплотный полиэтилен.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>Запаян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30,00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6 800,00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204 000,00</w:t>
            </w:r>
          </w:p>
        </w:tc>
      </w:tr>
      <w:tr w:rsidR="00077970" w:rsidRPr="00004B83" w:rsidTr="00A5065E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Лента индикаторная  19 (19 мм*50 м)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>Лента индикаторная  19 (19 мм*50 м)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20,00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1 755,00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35 100,00</w:t>
            </w:r>
          </w:p>
        </w:tc>
      </w:tr>
      <w:tr w:rsidR="00077970" w:rsidRPr="00004B83" w:rsidTr="00AE797E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Материал упаковочный в рулонах для плазменной стерилизации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Reno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>: Рулон плоский 250ммх70м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Материал паковочный в рулонах для  плазменной стерилизации марки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Reno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.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 xml:space="preserve">Рулоны изготовлены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прозраяной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многоелойной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полимерной пленки (прозрачная сторона) и белого нетканого материала, представляющего собой волокна высокоплотного полиэтилена (не прозрачная сторона), соединённых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термошвом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который должен исключить последующие расклеивания при стерилизации и обеспечить 100%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отделяемость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пленки от бумаги при вскрытии упаковки.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Индикаторы плазменной стерилизации нанесены на бумажное основание рулонов и пакетов, между слоями бумаги и пленки в области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термотва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(параллельно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термошву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по бокам рулона и пакета), что предотвращает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протеяку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красителей (чернил) внутрь упаковки. Индикаторы стерилизации изменяют свой цвет под воздействием стерилизующего агента, изменение цвета указано на пакетах на русском и английском языках для каждого типа стерилизации. На рулонах и пакетах, на бумажной основе, между слоями бумаги и пленки в области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термотва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>. нанесены следующие обозначения: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6,00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96 300,00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577 800,00</w:t>
            </w:r>
          </w:p>
        </w:tc>
      </w:tr>
      <w:tr w:rsidR="00077970" w:rsidRPr="00004B83" w:rsidTr="00AE797E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Материал упаковочный в рулонах для плазменной стерилизации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Reno</w:t>
            </w:r>
            <w:proofErr w:type="spellEnd"/>
            <w:proofErr w:type="gramStart"/>
            <w:r w:rsidRPr="000F74CB">
              <w:rPr>
                <w:rFonts w:cs="Times New Roman"/>
                <w:sz w:val="16"/>
                <w:szCs w:val="16"/>
              </w:rPr>
              <w:t xml:space="preserve"> :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Рулон плоский 400ммх70м</w:t>
            </w:r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Материал   упаковочные в рулонах для плазменной стерилизации марки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Reno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: </w:t>
            </w:r>
            <w:proofErr w:type="gramStart"/>
            <w:r w:rsidRPr="000F74CB">
              <w:rPr>
                <w:rFonts w:cs="Times New Roman"/>
                <w:sz w:val="16"/>
                <w:szCs w:val="16"/>
              </w:rPr>
              <w:t xml:space="preserve">Рулоны изготовлены из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прозраяной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многоелойной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полимерной пленки (прозрачная сторона) и белого нетканого материала, представляющего собой волокна высокоплотного полиэтилена (не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прозраяная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сторона), соединённых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термошвом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, который должен исключить последующие расклеивания при стерилизации и обеспечить 100%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отделяемость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пленки от бумаги при вскрытии упаковки.</w:t>
            </w:r>
            <w:proofErr w:type="gramEnd"/>
            <w:r w:rsidRPr="000F74CB">
              <w:rPr>
                <w:rFonts w:cs="Times New Roman"/>
                <w:sz w:val="16"/>
                <w:szCs w:val="16"/>
              </w:rPr>
              <w:t xml:space="preserve"> Индикаторы плазменной стерилизации нанесены на бумажное основание рулонов и пакетов, между слоями бумаги и пленки в области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термотва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(параллельно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термошву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по бокам рулона и пакета),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ято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предотвращает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протеяку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 красителей (чернил) внутрь упаковки. Индикаторы стерилизации изменяют свой цвет под воздействием стерилизующего агента, изменение цвета указано на пакетах на русском и английском языках для каждого типа стерилизации. На рулонах и пакетах, на бумажной основе, между слоями бумаги и пленки в области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термотва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 xml:space="preserve">. нанесены следующие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обознаяения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6,00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154 200,00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925 200,00</w:t>
            </w:r>
          </w:p>
        </w:tc>
      </w:tr>
      <w:tr w:rsidR="00077970" w:rsidRPr="00004B83" w:rsidTr="00A5065E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77970" w:rsidRPr="00004B83" w:rsidRDefault="00077970" w:rsidP="00544D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Стерилизующее средство для аппарата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Reno</w:t>
            </w:r>
            <w:proofErr w:type="spellEnd"/>
          </w:p>
        </w:tc>
        <w:tc>
          <w:tcPr>
            <w:tcW w:w="3608" w:type="dxa"/>
            <w:vAlign w:val="center"/>
          </w:tcPr>
          <w:p w:rsidR="00077970" w:rsidRPr="000F74CB" w:rsidRDefault="00077970" w:rsidP="004E6923">
            <w:pPr>
              <w:rPr>
                <w:rFonts w:cs="Times New Roman"/>
                <w:sz w:val="16"/>
                <w:szCs w:val="16"/>
              </w:rPr>
            </w:pPr>
            <w:r w:rsidRPr="000F74CB">
              <w:rPr>
                <w:rFonts w:cs="Times New Roman"/>
                <w:sz w:val="16"/>
                <w:szCs w:val="16"/>
              </w:rPr>
              <w:t xml:space="preserve">Стерилизующее средство для аппарата </w:t>
            </w:r>
            <w:proofErr w:type="spellStart"/>
            <w:r w:rsidRPr="000F74CB">
              <w:rPr>
                <w:rFonts w:cs="Times New Roman"/>
                <w:sz w:val="16"/>
                <w:szCs w:val="16"/>
              </w:rPr>
              <w:t>Reno</w:t>
            </w:r>
            <w:proofErr w:type="spellEnd"/>
            <w:r w:rsidRPr="000F74CB">
              <w:rPr>
                <w:rFonts w:cs="Times New Roman"/>
                <w:sz w:val="16"/>
                <w:szCs w:val="16"/>
              </w:rPr>
              <w:t>. Стерилизующее средство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Упаковка: – 20 кассет/коробка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77970" w:rsidRPr="00DB6E05" w:rsidRDefault="00077970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штук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5,00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120 000,00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77970" w:rsidRPr="00DB6E05" w:rsidRDefault="00077970" w:rsidP="00DB6E05">
            <w:pPr>
              <w:jc w:val="center"/>
              <w:rPr>
                <w:sz w:val="16"/>
                <w:szCs w:val="16"/>
              </w:rPr>
            </w:pPr>
            <w:r w:rsidRPr="00DB6E05">
              <w:rPr>
                <w:sz w:val="16"/>
                <w:szCs w:val="16"/>
              </w:rPr>
              <w:t>600 000,00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544DB9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DB6E05" w:rsidRPr="00DB6E05">
              <w:rPr>
                <w:rFonts w:cs="Times New Roman"/>
                <w:sz w:val="18"/>
                <w:szCs w:val="18"/>
              </w:rPr>
              <w:t xml:space="preserve">11 808 200,00 (он </w:t>
            </w:r>
            <w:proofErr w:type="spellStart"/>
            <w:r w:rsidR="00DB6E05" w:rsidRPr="00DB6E05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DB6E05" w:rsidRPr="00DB6E05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B6E05" w:rsidRPr="00DB6E05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DB6E05" w:rsidRPr="00DB6E05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DB6E05" w:rsidRPr="00DB6E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B6E05" w:rsidRPr="00DB6E0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DB6E05" w:rsidRPr="00DB6E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B6E05" w:rsidRPr="00DB6E05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DB6E05" w:rsidRPr="00DB6E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B6E05" w:rsidRPr="00DB6E05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DB6E05" w:rsidRPr="00DB6E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B6E05" w:rsidRPr="00DB6E05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DB6E05" w:rsidRPr="00DB6E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B6E05" w:rsidRPr="00DB6E0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Pr="00371BB1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lastRenderedPageBreak/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544DB9"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A33AE9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371BB1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A33AE9" w:rsidRPr="00371BB1">
              <w:rPr>
                <w:rFonts w:cs="Times New Roman"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544DB9"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371BB1">
              <w:rPr>
                <w:rFonts w:cs="Times New Roman"/>
                <w:sz w:val="18"/>
                <w:szCs w:val="18"/>
              </w:rPr>
              <w:t>:</w:t>
            </w:r>
            <w:r w:rsidR="00DF0189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371BB1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371BB1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371BB1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83B0A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F21401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371BB1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371BB1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7D30C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6BE6">
              <w:rPr>
                <w:rFonts w:cs="Times New Roman"/>
                <w:b/>
                <w:sz w:val="18"/>
                <w:szCs w:val="18"/>
              </w:rPr>
              <w:t xml:space="preserve">Выделенная </w:t>
            </w:r>
            <w:r w:rsidRPr="007D30C1">
              <w:rPr>
                <w:rFonts w:cs="Times New Roman"/>
                <w:b/>
                <w:sz w:val="18"/>
                <w:szCs w:val="18"/>
              </w:rPr>
              <w:t>сумма</w:t>
            </w:r>
            <w:r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="00DB6E05" w:rsidRPr="00DB6E05">
              <w:rPr>
                <w:rFonts w:cs="Times New Roman"/>
                <w:sz w:val="18"/>
                <w:szCs w:val="18"/>
              </w:rPr>
              <w:t>11 808 200</w:t>
            </w:r>
            <w:r w:rsidR="003E6878" w:rsidRPr="00DB6E05">
              <w:rPr>
                <w:rFonts w:cs="Times New Roman"/>
                <w:sz w:val="18"/>
                <w:szCs w:val="18"/>
              </w:rPr>
              <w:t>,0</w:t>
            </w:r>
            <w:r w:rsidR="00C56BE6" w:rsidRPr="00DB6E05">
              <w:rPr>
                <w:rFonts w:cs="Times New Roman"/>
                <w:sz w:val="18"/>
                <w:szCs w:val="18"/>
              </w:rPr>
              <w:t>0</w:t>
            </w:r>
            <w:r w:rsidR="001B55DA" w:rsidRPr="00DB6E05">
              <w:rPr>
                <w:rFonts w:cs="Times New Roman"/>
                <w:sz w:val="18"/>
                <w:szCs w:val="18"/>
              </w:rPr>
              <w:t xml:space="preserve"> </w:t>
            </w:r>
            <w:r w:rsidRPr="00DB6E05">
              <w:rPr>
                <w:rFonts w:cs="Times New Roman"/>
                <w:sz w:val="18"/>
                <w:szCs w:val="18"/>
              </w:rPr>
              <w:t>(</w:t>
            </w:r>
            <w:r w:rsidR="00DB6E05" w:rsidRPr="00DB6E05">
              <w:rPr>
                <w:rFonts w:cs="Times New Roman"/>
                <w:sz w:val="18"/>
                <w:szCs w:val="18"/>
              </w:rPr>
              <w:t>одиннадцать миллионов восемьсот  восемь тысяч двести</w:t>
            </w:r>
            <w:r w:rsidRPr="00544DB9">
              <w:rPr>
                <w:rFonts w:cs="Times New Roman"/>
                <w:sz w:val="18"/>
                <w:szCs w:val="18"/>
              </w:rPr>
              <w:t>)</w:t>
            </w:r>
            <w:r w:rsidRPr="007D30C1">
              <w:rPr>
                <w:rFonts w:cs="Times New Roman"/>
                <w:sz w:val="18"/>
                <w:szCs w:val="18"/>
              </w:rPr>
              <w:t xml:space="preserve">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544DB9"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544DB9">
              <w:rPr>
                <w:rFonts w:cs="Times New Roman"/>
                <w:sz w:val="18"/>
                <w:szCs w:val="18"/>
                <w:lang w:val="kk-KZ"/>
              </w:rPr>
              <w:lastRenderedPageBreak/>
              <w:t>06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DF0189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 xml:space="preserve">, уведомления о начале </w:t>
            </w:r>
            <w:r w:rsidR="008C2B56" w:rsidRPr="00371BB1">
              <w:rPr>
                <w:sz w:val="18"/>
                <w:szCs w:val="18"/>
              </w:rPr>
              <w:lastRenderedPageBreak/>
              <w:t>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44DB9" w:rsidRPr="00371BB1" w:rsidTr="00A83B0A">
        <w:tc>
          <w:tcPr>
            <w:tcW w:w="4927" w:type="dxa"/>
          </w:tcPr>
          <w:p w:rsidR="00544DB9" w:rsidRPr="00371BB1" w:rsidRDefault="00544DB9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</w:tcPr>
          <w:p w:rsidR="00544DB9" w:rsidRDefault="00544DB9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04B83"/>
    <w:rsid w:val="000155AC"/>
    <w:rsid w:val="00020133"/>
    <w:rsid w:val="00023FC3"/>
    <w:rsid w:val="00026F71"/>
    <w:rsid w:val="00034096"/>
    <w:rsid w:val="00047263"/>
    <w:rsid w:val="0005257F"/>
    <w:rsid w:val="00056832"/>
    <w:rsid w:val="00062C0A"/>
    <w:rsid w:val="00077970"/>
    <w:rsid w:val="00085C12"/>
    <w:rsid w:val="0009393C"/>
    <w:rsid w:val="00093BD6"/>
    <w:rsid w:val="000A1533"/>
    <w:rsid w:val="000A27B1"/>
    <w:rsid w:val="000A4E11"/>
    <w:rsid w:val="000B7F2C"/>
    <w:rsid w:val="000C22A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E6878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44DB9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364C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0C1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57452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4C6C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E797E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344D5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B6E05"/>
    <w:rsid w:val="00DC09CA"/>
    <w:rsid w:val="00DC56C3"/>
    <w:rsid w:val="00DD599A"/>
    <w:rsid w:val="00DE2F15"/>
    <w:rsid w:val="00DE7C77"/>
    <w:rsid w:val="00DF0189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201A"/>
    <w:rsid w:val="00FC4CE5"/>
    <w:rsid w:val="00FD227B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B9D6-8FD0-4B0F-AA0C-EF98F306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5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313</cp:revision>
  <cp:lastPrinted>2024-01-30T09:11:00Z</cp:lastPrinted>
  <dcterms:created xsi:type="dcterms:W3CDTF">2019-01-15T05:22:00Z</dcterms:created>
  <dcterms:modified xsi:type="dcterms:W3CDTF">2024-02-15T06:42:00Z</dcterms:modified>
</cp:coreProperties>
</file>