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1B069C" w:rsidTr="00A83B0A">
        <w:trPr>
          <w:trHeight w:val="5320"/>
        </w:trPr>
        <w:tc>
          <w:tcPr>
            <w:tcW w:w="4992" w:type="dxa"/>
          </w:tcPr>
          <w:p w:rsidR="007A01F1" w:rsidRPr="001B069C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1B069C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1B069C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69C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1B069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1B069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FD227B" w:rsidRPr="001B069C">
              <w:rPr>
                <w:rFonts w:ascii="Times New Roman" w:hAnsi="Times New Roman"/>
                <w:sz w:val="18"/>
                <w:szCs w:val="18"/>
              </w:rPr>
              <w:t>30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1B069C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1B069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1B069C">
              <w:rPr>
                <w:rFonts w:ascii="Times New Roman" w:hAnsi="Times New Roman"/>
                <w:sz w:val="18"/>
                <w:szCs w:val="18"/>
              </w:rPr>
              <w:t>4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1B069C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1B069C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B069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1B06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1B06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1B069C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1B069C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1B069C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1B069C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1B069C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1B069C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1B069C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1B069C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1B069C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069C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1B069C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1B069C">
              <w:rPr>
                <w:rFonts w:cs="Times New Roman"/>
                <w:sz w:val="18"/>
                <w:szCs w:val="18"/>
              </w:rPr>
              <w:t xml:space="preserve">     «</w:t>
            </w:r>
            <w:r w:rsidR="00FD227B" w:rsidRPr="001B069C">
              <w:rPr>
                <w:rFonts w:cs="Times New Roman"/>
                <w:sz w:val="18"/>
                <w:szCs w:val="18"/>
              </w:rPr>
              <w:t>30</w:t>
            </w:r>
            <w:r w:rsidRPr="001B069C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1B069C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1B069C">
              <w:rPr>
                <w:rFonts w:cs="Times New Roman"/>
                <w:sz w:val="18"/>
                <w:szCs w:val="18"/>
              </w:rPr>
              <w:t>202</w:t>
            </w:r>
            <w:r w:rsidR="00BE0D7F" w:rsidRPr="001B069C">
              <w:rPr>
                <w:rFonts w:cs="Times New Roman"/>
                <w:sz w:val="18"/>
                <w:szCs w:val="18"/>
              </w:rPr>
              <w:t>4</w:t>
            </w:r>
            <w:r w:rsidRPr="001B069C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1B069C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1B069C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1B069C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1B069C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1B069C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1B069C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1B069C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1B069C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1B069C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004B83" w:rsidRPr="001B069C" w:rsidRDefault="00004B83" w:rsidP="0048597F">
      <w:pPr>
        <w:jc w:val="both"/>
        <w:rPr>
          <w:rStyle w:val="a5"/>
          <w:rFonts w:eastAsiaTheme="minorHAnsi" w:cs="Times New Roman"/>
          <w:color w:val="auto"/>
          <w:kern w:val="0"/>
          <w:lang w:eastAsia="en-US"/>
        </w:rPr>
      </w:pPr>
    </w:p>
    <w:tbl>
      <w:tblPr>
        <w:tblW w:w="114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686"/>
        <w:gridCol w:w="3608"/>
        <w:gridCol w:w="1509"/>
        <w:gridCol w:w="1185"/>
        <w:gridCol w:w="1444"/>
        <w:gridCol w:w="1343"/>
      </w:tblGrid>
      <w:tr w:rsidR="00FD227B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D227B" w:rsidRPr="001B069C" w:rsidRDefault="00FD227B" w:rsidP="009C6379">
            <w:pPr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FD227B" w:rsidRPr="001B069C" w:rsidRDefault="00FD227B" w:rsidP="009C6379">
            <w:pPr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FD227B" w:rsidRPr="001B069C" w:rsidRDefault="00FD227B" w:rsidP="009C63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3608" w:type="dxa"/>
            <w:vAlign w:val="center"/>
          </w:tcPr>
          <w:p w:rsidR="00FD227B" w:rsidRPr="001B069C" w:rsidRDefault="00FD227B" w:rsidP="009C6379">
            <w:pPr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FD227B" w:rsidRPr="001B069C" w:rsidRDefault="00FD227B" w:rsidP="009C63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D227B" w:rsidRPr="001B069C" w:rsidRDefault="00FD227B" w:rsidP="009C6379">
            <w:pPr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227B" w:rsidRPr="001B069C" w:rsidRDefault="00FD227B" w:rsidP="009C6379">
            <w:pPr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D227B" w:rsidRPr="001B069C" w:rsidRDefault="00FD227B" w:rsidP="009C63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Устройство обескровливания конечностей  (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желтый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08" w:type="dxa"/>
            <w:vAlign w:val="center"/>
          </w:tcPr>
          <w:p w:rsidR="009C6379" w:rsidRPr="001B069C" w:rsidRDefault="00757D0E" w:rsidP="009C63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pict w14:anchorId="6F006D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4" o:spid="_x0000_s1033" type="#_x0000_t75" style="position:absolute;margin-left:0;margin-top:0;width:48pt;height:.75pt;z-index:25166540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">
                  <v:imagedata r:id="rId9" o:title=""/>
                </v:shape>
              </w:pict>
            </w:r>
            <w:r w:rsidR="009C6379" w:rsidRPr="001B069C">
              <w:rPr>
                <w:rFonts w:cs="Times New Roman"/>
                <w:sz w:val="16"/>
                <w:szCs w:val="16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="009C6379" w:rsidRPr="001B069C">
              <w:rPr>
                <w:rFonts w:cs="Times New Roman"/>
                <w:sz w:val="16"/>
                <w:szCs w:val="16"/>
              </w:rPr>
              <w:t>на</w:t>
            </w:r>
            <w:proofErr w:type="gramEnd"/>
            <w:r w:rsidR="009C6379" w:rsidRPr="001B069C">
              <w:rPr>
                <w:rFonts w:cs="Times New Roman"/>
                <w:sz w:val="16"/>
                <w:szCs w:val="16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 w:rsidR="009C6379" w:rsidRPr="001B069C">
              <w:rPr>
                <w:rFonts w:cs="Times New Roman"/>
                <w:sz w:val="16"/>
                <w:szCs w:val="16"/>
              </w:rPr>
              <w:t>рт.ст</w:t>
            </w:r>
            <w:proofErr w:type="spellEnd"/>
            <w:r w:rsidR="009C6379" w:rsidRPr="001B069C">
              <w:rPr>
                <w:rFonts w:cs="Times New Roman"/>
                <w:sz w:val="16"/>
                <w:szCs w:val="16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="009C6379" w:rsidRPr="001B069C">
              <w:rPr>
                <w:rFonts w:cs="Times New Roman"/>
                <w:sz w:val="16"/>
                <w:szCs w:val="16"/>
              </w:rPr>
              <w:t>из</w:t>
            </w:r>
            <w:proofErr w:type="gramEnd"/>
            <w:r w:rsidR="009C6379" w:rsidRPr="001B069C">
              <w:rPr>
                <w:rFonts w:cs="Times New Roman"/>
                <w:sz w:val="16"/>
                <w:szCs w:val="16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="009C6379" w:rsidRPr="001B069C">
              <w:rPr>
                <w:rFonts w:cs="Times New Roman"/>
                <w:sz w:val="16"/>
                <w:szCs w:val="16"/>
              </w:rPr>
              <w:t>exsanguinations</w:t>
            </w:r>
            <w:proofErr w:type="spellEnd"/>
            <w:r w:rsidR="009C6379" w:rsidRPr="001B069C">
              <w:rPr>
                <w:rFonts w:cs="Times New Roman"/>
                <w:sz w:val="16"/>
                <w:szCs w:val="16"/>
              </w:rPr>
              <w:t>) из оперируемой конечности, артериальная блокада кровообращения (</w:t>
            </w:r>
            <w:proofErr w:type="spellStart"/>
            <w:r w:rsidR="009C6379" w:rsidRPr="001B069C">
              <w:rPr>
                <w:rFonts w:cs="Times New Roman"/>
                <w:sz w:val="16"/>
                <w:szCs w:val="16"/>
              </w:rPr>
              <w:t>occlusion</w:t>
            </w:r>
            <w:proofErr w:type="spellEnd"/>
            <w:r w:rsidR="009C6379" w:rsidRPr="001B069C">
              <w:rPr>
                <w:rFonts w:cs="Times New Roman"/>
                <w:sz w:val="16"/>
                <w:szCs w:val="16"/>
              </w:rPr>
              <w:t>) и покрытие операционной зоны стерильным чулком.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50,00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60 000,00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3 000 000,00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Устройство обескровливания конечностей (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коричневый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на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рт.ст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из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exsanguinations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) из оперируемой конечности, артериальная блокада кровообращения (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occlusion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) и покрытие операционной зоны стерильным чулком.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10,00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60 000,00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600 000,00</w:t>
            </w:r>
          </w:p>
        </w:tc>
      </w:tr>
      <w:tr w:rsidR="009C6379" w:rsidRPr="001B069C" w:rsidTr="009C6379">
        <w:trPr>
          <w:trHeight w:val="1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Мочеприемник стерильный 1000 мл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Модификация крепления: с ремешком, состоит из пакета/мешка  для </w:t>
            </w:r>
            <w:proofErr w:type="spellStart"/>
            <w:proofErr w:type="gramStart"/>
            <w:r w:rsidRPr="001B069C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бора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мочи, не содержащего латекс, объемами 1000мл,  2000мл; </w:t>
            </w:r>
            <w:r w:rsidRPr="001B069C">
              <w:rPr>
                <w:rFonts w:cs="Times New Roman"/>
                <w:sz w:val="16"/>
                <w:szCs w:val="16"/>
              </w:rPr>
              <w:lastRenderedPageBreak/>
              <w:t xml:space="preserve">Т-образного сливного клапана; порта для взятия проб  мочи; встроенного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антирефлюксного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клапана с коническим коннектором и защитным колпачком; дренажной трубки с внешним  диаметром от 6,0мм до 10,5мм и длиной 100см; ремешка для крепления.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Модификация крепления: с завязками, состоит из пакета/мешка  для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cбора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мочи, не содержащего латекс, объемами 1000мл, 2000мл; Т-образного сливного клапана; встроенного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антирефлюк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с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-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ного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клапана с коническим коннектором и защитным колпачком;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дренажной трубки с внешним диаметром от 6,0мм до 10,5мм и дли- ной 90см; двойных завязок для крепления. Т-образный сливной клапан легко открыть или закрыть одной рукой. При закрытии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кл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а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-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пана слышен характерный щелчок. Визуально можно определить, закрыт ли клапан. Дренажная трубка устойчива к перегибам. Встроенный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антирефлюксный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клапан с коническим коннектором предотвращает обратный заброс мочи, даже если мешок/пакет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п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е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-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ревернут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снизу вверх. Цена деления измерительной шкалы: 1000 мл – 50 мл, 2000 мл – 100 мл.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9 000,00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135,00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1 215 000,00</w:t>
            </w:r>
          </w:p>
        </w:tc>
      </w:tr>
      <w:tr w:rsidR="009C6379" w:rsidRPr="001B069C" w:rsidTr="009C6379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Мочеприемник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уриметр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. Состоит из емкости в 500 мл для определения почасового диуреза.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Мочеприемник -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изготовлены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из медицинского поливинилхлорида (ПВХ), не пропускающего запах.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Обьем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500 мл. Используются для сбора мочи и определения почасового диуреза. Измерительная шкала: от 4мл до 500мл+/- 25 мл. Мочеприемник имеет встроенный опорожняющий колпачок отверстием 9.5мм, сегмент переполнения, обратный клапан предотвращает вытекание мочи обратно в урологический катер, что исключает возможность распространения инфекции. </w:t>
            </w:r>
            <w:proofErr w:type="spellStart"/>
            <w:proofErr w:type="gramStart"/>
            <w:r w:rsidRPr="001B069C">
              <w:rPr>
                <w:rFonts w:cs="Times New Roman"/>
                <w:sz w:val="16"/>
                <w:szCs w:val="16"/>
              </w:rPr>
              <w:t>E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мкость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для мочи в виде пластикового мешка объемом 2.6л градацией с шагом по 100мл от100мл до 2600мл с опорожняющим колпачком и механической защелкой трубки мешка. Также в трубке мочеприемника встроен порт для отбора проб шприцом без иглы. Дренажная трубка длиной 110 см подсоединения к катетеру. Дренажная трубка устойчива к перегибам и защищают от протекания, диаметр 9-10мм. Трубка должна иметь зажим для перекрывания света.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Стерильный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, однократного применения. Крепления мочеприемника двумя способами: пластиковые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кранштейны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и мягкий/гибкий шнур длиной не менее 70см.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10,00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8 700,00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87 000,00</w:t>
            </w:r>
          </w:p>
        </w:tc>
      </w:tr>
      <w:tr w:rsidR="009C6379" w:rsidRPr="001B069C" w:rsidTr="009C6379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Катетер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Фолея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2-х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ходовые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Катетер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Фолея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2-х ходовой однократного применения стерильный, размер 14.16,18 FR/CH; модификации: латексный с силиконовым покрытием; разновидности стандартный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2 700,00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210,00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567 000,00</w:t>
            </w:r>
          </w:p>
        </w:tc>
      </w:tr>
      <w:tr w:rsidR="009C6379" w:rsidRPr="001B069C" w:rsidTr="009C6379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Катетер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Фолея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3-х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ходовые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Катетер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Фолея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3-х ходовые все размеры по заявке Заказчика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120,00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320,00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38 400,00</w:t>
            </w:r>
          </w:p>
        </w:tc>
      </w:tr>
      <w:tr w:rsidR="009C6379" w:rsidRPr="001B069C" w:rsidTr="009C6379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Прозрачная пленочная повязка  размером: 6 смх7см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Стерильная пленочная повязка для фиксации катетеров с рамкой для наложения с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безвредным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адгезивом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: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полиакрилатом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. Для детей - периферическое наложение; для новорожденных - для фиксации центральных катетеров. Размером 6смх7см (с выемкой)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1 800,00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165,00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297 000,00</w:t>
            </w:r>
          </w:p>
        </w:tc>
      </w:tr>
      <w:tr w:rsidR="009C6379" w:rsidRPr="001B069C" w:rsidTr="009C6379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Прозрачная пленочная повязка размером: 7х8,5см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Стерильная пленочная повязка для фиксации периферических катетеров с рамкой для наложения с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безвредным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адгезивом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: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полиакрилатом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, с двумя полосками тканевого пластыря. Размером 7смх8,5см.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1 800,00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270,00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486 000,00</w:t>
            </w:r>
          </w:p>
        </w:tc>
      </w:tr>
      <w:tr w:rsidR="009C6379" w:rsidRPr="001B069C" w:rsidTr="009C6379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Прозрачная пленочная повязка  размером: 8,5 х10,5см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Стерильная пленочная повязка для фиксации центральных венозных  катетеров с рамкой для наложения с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безвредным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адгезивом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: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полиакрилатом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, с двумя полосками тканевого пластыря. Размером 8,5смх10,5см.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660,00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540,00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356 400,00</w:t>
            </w:r>
          </w:p>
        </w:tc>
      </w:tr>
      <w:tr w:rsidR="009C6379" w:rsidRPr="001B069C" w:rsidTr="009C6379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Фиксирующая повязка 10 см *25 см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Фиксирующая повязка 10 см *25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гипоаллергенным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клеем, с подушечкой для </w:t>
            </w:r>
            <w:r w:rsidRPr="001B069C">
              <w:rPr>
                <w:rFonts w:cs="Times New Roman"/>
                <w:sz w:val="16"/>
                <w:szCs w:val="16"/>
              </w:rPr>
              <w:lastRenderedPageBreak/>
              <w:t>раневой поверхности и упакована в индивидуальный отслаиваемый пакет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8 000,00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306,00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2 448 000,00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Фиксирующая повязка 10 см *35 см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Фиксирующая повязка 10 см *35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гипоаллергенным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клеем, с подушечкой для раневой поверхности и упакована в индивидуальный отслаиваемый пакет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8 500,00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396,00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3 366 000,00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Повязки адгезивные для фиксации катетеров на нетканой основе с абсорбирующей  подушечкой, на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гипоаллергенном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акрилатном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клею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Стерильная самоклеящаяся повязка с прокладкой, которая крепиться в области введения инъекций для надежной фиксации катетеров и канюль. Посередине повязки сделан надрез. В конце надреза крепиться прокладка, изготовленная из мягкой вискозной ткани с высокими впитывающими свойствами, ламинированной полиэтиленовой пленкой состав материала прокладки   PE / вискоза / PP / PE , которая препятствует прилипанию прокладки к месту введения инъекции. Клеящаяся основа изготовлена из Спряденного кружевного нетканого 100% полиэстера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Сантара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с вентилируемыми отверстиями. Стерилизация произведена  окисью этилена Повязка свободно пропускает воздух и влагу, поэтому может использоваться в течени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и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24 часов. Используемые материалы не раздражают кожу и являются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гипаллергенными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. Вес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гипоаллергенного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акрилатного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клея на повязке 30-35 г /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. Сила адгезии 11±3 Н/25мм. (подтверждается Сертификатом анализа завода изготовителя). После снятия на коже не остается следов клеящего вещества. Размер повязки 10х10 см, размер абсорбирующей прокладки 1,9х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1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,9 см. Закреплена на 2-х кусках силиконовой бумаги, один из которых имеет загиб наружу, шириной 0,7см для удобства наложения повязки без нарушения её стерильности.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13 000,00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178,25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2 317 250,00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Повязки кровоостанавливающие (механическое воздействие на рану) на нетканой основе с абсорбирующей подушечкой, на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гипоаллергенном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акрилатном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клею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Первичная раневая повязка из комбинации супер абсорбирующих акриловых и вискозных волокон, неплотной полиэтиленовой сетки. Повязка впитывает и взаимодействует с раневым экссудатом, чтобы образовать мягкий, гидрофильный, газопроницаемый гель, который обеспечивает влажную среду, благоприятную для заживления раны.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СВОЙСТВА: Может впитывать и удерживать кровь и жидкость весом в 30 раз больше своего.  Повязка быстро впитывает раневой экссудат и превращает его в гель. Экссудат удерживается внутри повязки и не контактирует с раной или кожей вокруг, это предотвращает мацерацию и сохраняет влажность поверхности, что способствует заживлению раны. Прокладка повязки может удерживать впитанный экссудат даже при нажатии. Высокая абсорбирующая способность позволяет реже менять повязку и реже контактировать c поверхностью раны. Мягкая и легкая плотно прилегающая раневая прокладка обеспечивает поддерживающий эффект. Безболезненное снятие повязки без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травмирования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раны. Наличие специальной пленки в качестве контактного слоя позволяет быстро впитывать экссудат. Ра</w:t>
            </w:r>
            <w:bookmarkStart w:id="0" w:name="_GoBack"/>
            <w:bookmarkEnd w:id="0"/>
            <w:r w:rsidRPr="001B069C">
              <w:rPr>
                <w:rFonts w:cs="Times New Roman"/>
                <w:sz w:val="16"/>
                <w:szCs w:val="16"/>
              </w:rPr>
              <w:t>змер повязки 3,8х3,8 см, размер абсорбирующей прокладки 1,9х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1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,9 см. Закреплена на 2-х кусках силиконовой бумаги, один из которых имеет загиб наружу, шириной 0,4см для удобства наложения повязки без нарушения её стерильности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35,00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875 000,00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Скальпель хирургический  стерильный, одноразовый.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углеродистой стали. Размеры по заявкам Заказчика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8 000,00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79,00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632 000,00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Материал хирургический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гемостатический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рассасывающийся </w:t>
            </w:r>
            <w:r w:rsidRPr="001B069C">
              <w:rPr>
                <w:rFonts w:cs="Times New Roman"/>
                <w:sz w:val="16"/>
                <w:szCs w:val="16"/>
              </w:rPr>
              <w:lastRenderedPageBreak/>
              <w:t xml:space="preserve">стерильный,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фибриллярные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7 слоев. Размер 5 см*10 см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lastRenderedPageBreak/>
              <w:t xml:space="preserve">Материал хирургический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гемостатический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рассасывающийся стерильный,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фибриллярные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7 слоев. Размер 5см х 10см. Окисленная восстановленная целлюлоза с </w:t>
            </w:r>
            <w:r w:rsidRPr="001B069C">
              <w:rPr>
                <w:rFonts w:cs="Times New Roman"/>
                <w:sz w:val="16"/>
                <w:szCs w:val="16"/>
              </w:rPr>
              <w:lastRenderedPageBreak/>
              <w:t xml:space="preserve">кровоостанавливающим действием. Полностью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готовый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к применению в операционной и не требует стерилизации сухим теплом или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автоклавированием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. При прошивании или разрезании, его нити не распускаются.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Упакован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стерильно, двойным пакетом. В условиях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invitro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, оказывает бактерицидный эффект против ряда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грамм-положительных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и отрицательных микроорганизмов, включая мульти-устойчивые микроорганизмы. Особое свойства, что семь из десяти микроорганизмов погибают после 24 часов при использовании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Staphylococcus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aureusmeticylinooporny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(MRSA);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Staphylococcus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epidermidismeticylinooporny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(MRSE);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Enterococcus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faecalisopornynawankomycyne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(VRE);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Streptococcuspneumoniapenicylinooporny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(PRSP); Когда контактирует с кровью, она впитывает кровь и набухает, постепенно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преобразуясь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в гелеобразное вещество. Будучи прижатым в этот момент, материал прилепляется к поверхности раны и надежно закупоривает венозные капилляры, что обеспечивает механический гемостаз. Активируется каскадный механизм свертывания крови, и растворимый фибриноген преобразуется в сетевидный нерастворимый фибрин, который останавливает кровотечение. После имплантации в ткань, абсорбируется в течение максимум 30 дней. При нормальных условиях абсорбируется в течение 5-8 дней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60,00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10 200,00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612 000,00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16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757D0E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Окисленная восстановленная целлюлоза 2,6*5,1 см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Описание продукта: Стерильное абсорбируемое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гемостатические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средство в виде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гемостатической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марли изготовлено путем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воспринимается организмом полностью рассасывается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.- Состав материала: Восстановленная целлюлоза.</w:t>
            </w:r>
            <w:r w:rsidRPr="001B069C">
              <w:rPr>
                <w:rFonts w:cs="Times New Roman"/>
                <w:sz w:val="16"/>
                <w:szCs w:val="16"/>
              </w:rPr>
              <w:br/>
              <w:t>- Стерилизация: Гамма стерилизация.</w:t>
            </w:r>
            <w:r w:rsidRPr="001B069C">
              <w:rPr>
                <w:rFonts w:cs="Times New Roman"/>
                <w:sz w:val="16"/>
                <w:szCs w:val="16"/>
              </w:rPr>
              <w:br/>
              <w:t>- Механизм действия: Остановка кровотечения за счет низкого РН.</w:t>
            </w:r>
            <w:r w:rsidRPr="001B069C">
              <w:rPr>
                <w:rFonts w:cs="Times New Roman"/>
                <w:sz w:val="16"/>
                <w:szCs w:val="16"/>
              </w:rPr>
              <w:br/>
              <w:t>- Срок годности: 3 года.</w:t>
            </w:r>
            <w:r w:rsidRPr="001B069C">
              <w:rPr>
                <w:rFonts w:cs="Times New Roman"/>
                <w:sz w:val="16"/>
                <w:szCs w:val="16"/>
              </w:rPr>
              <w:br/>
              <w:t>- Хранение: При комнатной температуре.</w:t>
            </w:r>
            <w:r w:rsidRPr="001B069C">
              <w:rPr>
                <w:rFonts w:cs="Times New Roman"/>
                <w:sz w:val="16"/>
                <w:szCs w:val="16"/>
              </w:rPr>
              <w:br/>
              <w:t>- Техническое описание: смотрите ниже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 xml:space="preserve">;- 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- 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А. Спецификация сырого материала:</w:t>
            </w:r>
            <w:r w:rsidRPr="001B069C">
              <w:rPr>
                <w:rFonts w:cs="Times New Roman"/>
                <w:sz w:val="16"/>
                <w:szCs w:val="16"/>
              </w:rPr>
              <w:br/>
              <w:t>- 1. Материал: Восстановленная целлюлоза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- 2. Цвет: Слегка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белый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>, яркий</w:t>
            </w:r>
            <w:r w:rsidRPr="001B069C">
              <w:rPr>
                <w:rFonts w:cs="Times New Roman"/>
                <w:sz w:val="16"/>
                <w:szCs w:val="16"/>
              </w:rPr>
              <w:br/>
              <w:t>- В. Спецификация готового продукта:</w:t>
            </w:r>
            <w:r w:rsidRPr="001B069C">
              <w:rPr>
                <w:rFonts w:cs="Times New Roman"/>
                <w:sz w:val="16"/>
                <w:szCs w:val="16"/>
              </w:rPr>
              <w:br/>
              <w:t>- 1. Материал: Окисленная восстановленная целлюлоза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- 2. Цвет: Бледно – желтый 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- 3. Содержание карбоксила в %: 18,2 </w:t>
            </w:r>
            <w:r w:rsidRPr="001B069C">
              <w:rPr>
                <w:rFonts w:cs="Times New Roman"/>
                <w:sz w:val="16"/>
                <w:szCs w:val="16"/>
              </w:rPr>
              <w:br/>
              <w:t>- 4. Время гемостаза 2 – 3 минуты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- 5. Абсорбирование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Invitro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: 7 – 14 дня</w:t>
            </w:r>
            <w:r w:rsidRPr="001B069C">
              <w:rPr>
                <w:rFonts w:cs="Times New Roman"/>
                <w:sz w:val="16"/>
                <w:szCs w:val="16"/>
              </w:rPr>
              <w:br/>
              <w:t>- 6. РН уровень: В организме 2,2 от 1 до 24 часов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С. Антибактериальный эффект: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Pahacel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показывает некоторое бактериостатической и бактерицидное действие против </w:t>
            </w:r>
            <w:proofErr w:type="spellStart"/>
            <w:proofErr w:type="gramStart"/>
            <w:r w:rsidRPr="001B069C">
              <w:rPr>
                <w:rFonts w:cs="Times New Roman"/>
                <w:sz w:val="16"/>
                <w:szCs w:val="16"/>
              </w:rPr>
              <w:t>грам</w:t>
            </w:r>
            <w:proofErr w:type="spellEnd"/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+ и – бактерии, включая аэробные и анаэробные инфекции.)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37,00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3 900,00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144 300,00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Окисленная восстановленная целлюлоза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Стерильный, рассасывающийся, одноразовый окисленный регенерированный целлюлозный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гемостат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. Стерильный рассасывающийся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гемостатический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материал из окисленной регенерированной целлюлозы, фибриллярный 2,5 x 5,1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mm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. Натуральная (растительная) целлюлоза растворяется и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экструдируется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в виде непрерывного волокна (регенерация). Ткань, изготовленная из волокна, очень однородна по химическому составу, поэтому ее окисление строго регулируется. Эго равномерное окисление приводит к меньшему изменению стабильности и впитывающей способности материала по сравнению с изделиями на основе хлопка. Медицинское изделие представляет собой стерильный продукт, изготовленный из окисленной регенерированной целлюлозы (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полиоксиангидроглюкуроновая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кислота), доступный в виде стандартной ткани. Материал </w:t>
            </w:r>
            <w:r w:rsidRPr="001B069C">
              <w:rPr>
                <w:rFonts w:cs="Times New Roman"/>
                <w:sz w:val="16"/>
                <w:szCs w:val="16"/>
              </w:rPr>
              <w:lastRenderedPageBreak/>
              <w:t xml:space="preserve">можно обрезать до любого желаемого размера, наносится всухую. Его можно положить, прижать к кровоточащему месту или обернуть вокруг него. Механизм действия не зависит от механизма свертывания крови в организме. При контакте с кровью образует коричневатую или черную желеобразную массу, которая способствует образованию тромбов. Эта желеобразная масса действует как физическая матрица, к которой могут прилипать тромбоциты. При агрегации тромбоцитов и образовании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тромбоцитарн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о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>-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фибриновой пробки происходит гемостаз. При правильном использовании в минимальных количествах он рассасывается из мест имплантации без тканевой реакции. Полностью рассасывается в течение 7-14 дней. Гемостаз через 3-4 минуты.7 -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слойная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фибриллярная ткань. Универсальность дизайна. Наличие пучков для неровных поверхностей.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5,00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21 000,00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105 000,00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18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Игла для биопсии 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Игла для биопсии для инструмента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Pro-Mag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TMUltra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. (Размеры 14, 16, 18, 20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Ga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X 10, 12, 16, 20, 25, 30 см). Столбик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забираемого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биоптата не менее 19мм. Игла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эхоконтрастная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130,00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6 600,00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858 000,00</w:t>
            </w:r>
          </w:p>
        </w:tc>
      </w:tr>
      <w:tr w:rsidR="009C6379" w:rsidRPr="001B069C" w:rsidTr="009C6379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B069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Сосудистые петли</w:t>
            </w:r>
          </w:p>
        </w:tc>
        <w:tc>
          <w:tcPr>
            <w:tcW w:w="3608" w:type="dxa"/>
            <w:vAlign w:val="center"/>
          </w:tcPr>
          <w:p w:rsidR="009C6379" w:rsidRPr="001B069C" w:rsidRDefault="009C6379" w:rsidP="00757D0E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 xml:space="preserve">Сосудистые петли набор - 100% медицинский силикон, мягкий и гладкий материал. Не впитывает жидкость.  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Нетоксичен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 и не содержит латекса. Размеры: 2.5х</w:t>
            </w:r>
            <w:proofErr w:type="gramStart"/>
            <w:r w:rsidRPr="001B069C">
              <w:rPr>
                <w:rFonts w:cs="Times New Roman"/>
                <w:sz w:val="16"/>
                <w:szCs w:val="16"/>
              </w:rPr>
              <w:t>1</w:t>
            </w:r>
            <w:proofErr w:type="gramEnd"/>
            <w:r w:rsidRPr="001B069C">
              <w:rPr>
                <w:rFonts w:cs="Times New Roman"/>
                <w:sz w:val="16"/>
                <w:szCs w:val="16"/>
              </w:rPr>
              <w:t xml:space="preserve">.0мм. Длина петли: 45 см. Силиконовые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рентгеноконтрастные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держалки для выделения сосудов, артерий, вен, сухожилий и нервов, мочеточника и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дригих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тканей во время операции. Доступен в цветах: синий, красный, желтый, белый. В стерильной упаковке содержится 2 шт. Упаковка: Герметичный пакет из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термоформуемой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 пленки и газопроницаемой бумаги. Однократного применения. </w:t>
            </w:r>
            <w:r w:rsidRPr="001B069C">
              <w:rPr>
                <w:rFonts w:cs="Times New Roman"/>
                <w:sz w:val="16"/>
                <w:szCs w:val="16"/>
              </w:rPr>
              <w:br/>
              <w:t xml:space="preserve">Стерилизован </w:t>
            </w:r>
            <w:proofErr w:type="spellStart"/>
            <w:r w:rsidRPr="001B069C">
              <w:rPr>
                <w:rFonts w:cs="Times New Roman"/>
                <w:sz w:val="16"/>
                <w:szCs w:val="16"/>
              </w:rPr>
              <w:t>этиленоксидом</w:t>
            </w:r>
            <w:proofErr w:type="spellEnd"/>
            <w:r w:rsidRPr="001B069C">
              <w:rPr>
                <w:rFonts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rFonts w:cs="Times New Roman"/>
                <w:sz w:val="16"/>
                <w:szCs w:val="16"/>
              </w:rPr>
            </w:pPr>
            <w:r w:rsidRPr="001B069C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 xml:space="preserve">80,00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1 746,00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C6379" w:rsidRPr="001B069C" w:rsidRDefault="009C6379" w:rsidP="009C6379">
            <w:pPr>
              <w:rPr>
                <w:sz w:val="16"/>
                <w:szCs w:val="16"/>
              </w:rPr>
            </w:pPr>
            <w:r w:rsidRPr="001B069C">
              <w:rPr>
                <w:sz w:val="16"/>
                <w:szCs w:val="16"/>
              </w:rPr>
              <w:t>139 680,00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1B069C" w:rsidTr="00A83B0A">
        <w:tc>
          <w:tcPr>
            <w:tcW w:w="4927" w:type="dxa"/>
          </w:tcPr>
          <w:p w:rsidR="0091217A" w:rsidRPr="001B069C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1B069C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069C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1B069C" w:rsidRPr="001B069C">
              <w:rPr>
                <w:rFonts w:cs="Times New Roman"/>
                <w:sz w:val="18"/>
                <w:szCs w:val="18"/>
              </w:rPr>
              <w:t xml:space="preserve">18 144 030,00 (он </w:t>
            </w:r>
            <w:proofErr w:type="spellStart"/>
            <w:r w:rsidR="001B069C" w:rsidRPr="001B069C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1B069C" w:rsidRPr="001B069C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1B069C" w:rsidRPr="001B069C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1B069C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069C" w:rsidRPr="001B069C">
              <w:rPr>
                <w:rFonts w:cs="Times New Roman"/>
                <w:sz w:val="18"/>
                <w:szCs w:val="18"/>
              </w:rPr>
              <w:t>қырық</w:t>
            </w:r>
            <w:proofErr w:type="spellEnd"/>
            <w:r w:rsidR="001B069C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069C" w:rsidRPr="001B069C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1B069C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069C" w:rsidRPr="001B069C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1B069C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069C" w:rsidRPr="001B069C">
              <w:rPr>
                <w:rFonts w:cs="Times New Roman"/>
                <w:sz w:val="18"/>
                <w:szCs w:val="18"/>
              </w:rPr>
              <w:t>отыз</w:t>
            </w:r>
            <w:proofErr w:type="spellEnd"/>
            <w:r w:rsidR="00B73625"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1B069C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:</w:t>
            </w:r>
            <w:r w:rsidRPr="001B069C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1B069C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544DB9" w:rsidRPr="001B069C">
              <w:rPr>
                <w:rFonts w:cs="Times New Roman"/>
                <w:sz w:val="18"/>
                <w:szCs w:val="18"/>
              </w:rPr>
              <w:t>06</w:t>
            </w:r>
            <w:r w:rsidR="007A01F1" w:rsidRPr="001B069C">
              <w:rPr>
                <w:rFonts w:cs="Times New Roman"/>
                <w:sz w:val="18"/>
                <w:szCs w:val="18"/>
              </w:rPr>
              <w:t>.</w:t>
            </w:r>
            <w:r w:rsidR="000155AC" w:rsidRPr="001B069C">
              <w:rPr>
                <w:rFonts w:cs="Times New Roman"/>
                <w:sz w:val="18"/>
                <w:szCs w:val="18"/>
              </w:rPr>
              <w:t>0</w:t>
            </w:r>
            <w:r w:rsidR="007D30C1" w:rsidRPr="001B069C">
              <w:rPr>
                <w:rFonts w:cs="Times New Roman"/>
                <w:sz w:val="18"/>
                <w:szCs w:val="18"/>
              </w:rPr>
              <w:t>2</w:t>
            </w:r>
            <w:r w:rsidR="007A01F1" w:rsidRPr="001B069C">
              <w:rPr>
                <w:rFonts w:cs="Times New Roman"/>
                <w:sz w:val="18"/>
                <w:szCs w:val="18"/>
              </w:rPr>
              <w:t>.202</w:t>
            </w:r>
            <w:r w:rsidR="000155AC" w:rsidRPr="001B069C">
              <w:rPr>
                <w:rFonts w:cs="Times New Roman"/>
                <w:sz w:val="18"/>
                <w:szCs w:val="18"/>
              </w:rPr>
              <w:t>4</w:t>
            </w:r>
            <w:r w:rsidR="00A33AE9" w:rsidRPr="001B069C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1B069C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1B069C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1B069C">
              <w:rPr>
                <w:rFonts w:cs="Times New Roman"/>
                <w:sz w:val="18"/>
                <w:szCs w:val="18"/>
              </w:rPr>
              <w:t>09</w:t>
            </w:r>
            <w:r w:rsidR="00A33AE9" w:rsidRPr="001B069C">
              <w:rPr>
                <w:rFonts w:cs="Times New Roman"/>
                <w:sz w:val="18"/>
                <w:szCs w:val="18"/>
              </w:rPr>
              <w:t>: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1B069C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544DB9" w:rsidRPr="001B069C">
              <w:rPr>
                <w:rFonts w:cs="Times New Roman"/>
                <w:sz w:val="18"/>
                <w:szCs w:val="18"/>
              </w:rPr>
              <w:t>06</w:t>
            </w:r>
            <w:r w:rsidR="007A01F1" w:rsidRPr="001B069C">
              <w:rPr>
                <w:rFonts w:cs="Times New Roman"/>
                <w:sz w:val="18"/>
                <w:szCs w:val="18"/>
              </w:rPr>
              <w:t>.</w:t>
            </w:r>
            <w:r w:rsidR="000155AC" w:rsidRPr="001B069C">
              <w:rPr>
                <w:rFonts w:cs="Times New Roman"/>
                <w:sz w:val="18"/>
                <w:szCs w:val="18"/>
              </w:rPr>
              <w:t>0</w:t>
            </w:r>
            <w:r w:rsidR="007D30C1" w:rsidRPr="001B069C">
              <w:rPr>
                <w:rFonts w:cs="Times New Roman"/>
                <w:sz w:val="18"/>
                <w:szCs w:val="18"/>
              </w:rPr>
              <w:t>2</w:t>
            </w:r>
            <w:r w:rsidR="007A01F1" w:rsidRPr="001B069C">
              <w:rPr>
                <w:rFonts w:cs="Times New Roman"/>
                <w:sz w:val="18"/>
                <w:szCs w:val="18"/>
              </w:rPr>
              <w:t>.202</w:t>
            </w:r>
            <w:r w:rsidR="000155AC" w:rsidRPr="001B069C">
              <w:rPr>
                <w:rFonts w:cs="Times New Roman"/>
                <w:sz w:val="18"/>
                <w:szCs w:val="18"/>
              </w:rPr>
              <w:t>4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1B069C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="007A01F1" w:rsidRPr="001B069C">
              <w:rPr>
                <w:rFonts w:cs="Times New Roman"/>
                <w:sz w:val="18"/>
                <w:szCs w:val="18"/>
              </w:rPr>
              <w:t>:</w:t>
            </w:r>
            <w:r w:rsidR="001B069C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1B069C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1B069C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1B069C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lastRenderedPageBreak/>
              <w:t>рұқсат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1B069C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1B069C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1B069C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A83B0A" w:rsidRPr="001B069C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  <w:r w:rsidR="00F21401" w:rsidRPr="001B069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1B069C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069C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1B069C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1B069C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1B069C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lastRenderedPageBreak/>
              <w:t>анықтамасының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Pr="001B069C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66D94" w:rsidRPr="001B069C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9C6379" w:rsidRPr="001B069C">
              <w:rPr>
                <w:rFonts w:cs="Times New Roman"/>
                <w:sz w:val="18"/>
                <w:szCs w:val="18"/>
              </w:rPr>
              <w:t>18 144 030</w:t>
            </w:r>
            <w:r w:rsidR="003E6878" w:rsidRPr="001B069C">
              <w:rPr>
                <w:rFonts w:cs="Times New Roman"/>
                <w:sz w:val="18"/>
                <w:szCs w:val="18"/>
              </w:rPr>
              <w:t>,0</w:t>
            </w:r>
            <w:r w:rsidR="00C56BE6" w:rsidRPr="001B069C">
              <w:rPr>
                <w:rFonts w:cs="Times New Roman"/>
                <w:sz w:val="18"/>
                <w:szCs w:val="18"/>
              </w:rPr>
              <w:t>0</w:t>
            </w:r>
            <w:r w:rsidR="001B55DA"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Pr="001B069C">
              <w:rPr>
                <w:rFonts w:cs="Times New Roman"/>
                <w:sz w:val="18"/>
                <w:szCs w:val="18"/>
              </w:rPr>
              <w:t>(</w:t>
            </w:r>
            <w:r w:rsidR="001B069C" w:rsidRPr="001B069C">
              <w:rPr>
                <w:rFonts w:cs="Times New Roman"/>
                <w:sz w:val="18"/>
                <w:szCs w:val="18"/>
              </w:rPr>
              <w:t xml:space="preserve">восемнадцать миллионов сто сорок </w:t>
            </w:r>
            <w:r w:rsidR="001B069C">
              <w:rPr>
                <w:rFonts w:cs="Times New Roman"/>
                <w:sz w:val="18"/>
                <w:szCs w:val="18"/>
                <w:lang w:val="kk-KZ"/>
              </w:rPr>
              <w:t>ч</w:t>
            </w:r>
            <w:proofErr w:type="spellStart"/>
            <w:r w:rsidR="001B069C" w:rsidRPr="001B069C">
              <w:rPr>
                <w:rFonts w:cs="Times New Roman"/>
                <w:sz w:val="18"/>
                <w:szCs w:val="18"/>
              </w:rPr>
              <w:t>етыре</w:t>
            </w:r>
            <w:proofErr w:type="spellEnd"/>
            <w:r w:rsidR="001B069C" w:rsidRPr="001B069C">
              <w:rPr>
                <w:rFonts w:cs="Times New Roman"/>
                <w:sz w:val="18"/>
                <w:szCs w:val="18"/>
              </w:rPr>
              <w:t xml:space="preserve"> тысячи тридцать</w:t>
            </w:r>
            <w:r w:rsidRPr="001B069C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1B069C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1B069C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1B069C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1B069C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1B069C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1B069C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1B069C">
              <w:rPr>
                <w:b/>
                <w:sz w:val="18"/>
                <w:szCs w:val="18"/>
              </w:rPr>
              <w:t xml:space="preserve"> </w:t>
            </w:r>
            <w:r w:rsidRPr="001B069C">
              <w:rPr>
                <w:b/>
                <w:sz w:val="18"/>
                <w:szCs w:val="18"/>
              </w:rPr>
              <w:t>предложений</w:t>
            </w:r>
            <w:r w:rsidR="007A01F1" w:rsidRPr="001B069C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1B069C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544DB9" w:rsidRPr="001B069C">
              <w:rPr>
                <w:rFonts w:cs="Times New Roman"/>
                <w:sz w:val="18"/>
                <w:szCs w:val="18"/>
              </w:rPr>
              <w:t>06</w:t>
            </w:r>
            <w:r w:rsidR="007A01F1" w:rsidRPr="001B069C">
              <w:rPr>
                <w:rFonts w:cs="Times New Roman"/>
                <w:sz w:val="18"/>
                <w:szCs w:val="18"/>
              </w:rPr>
              <w:t>.</w:t>
            </w:r>
            <w:r w:rsidR="000155AC" w:rsidRPr="001B069C">
              <w:rPr>
                <w:rFonts w:cs="Times New Roman"/>
                <w:sz w:val="18"/>
                <w:szCs w:val="18"/>
              </w:rPr>
              <w:t>0</w:t>
            </w:r>
            <w:r w:rsidR="007D30C1" w:rsidRPr="001B069C">
              <w:rPr>
                <w:rFonts w:cs="Times New Roman"/>
                <w:sz w:val="18"/>
                <w:szCs w:val="18"/>
              </w:rPr>
              <w:t>2</w:t>
            </w:r>
            <w:r w:rsidR="007A01F1" w:rsidRPr="001B069C">
              <w:rPr>
                <w:rFonts w:cs="Times New Roman"/>
                <w:sz w:val="18"/>
                <w:szCs w:val="18"/>
              </w:rPr>
              <w:t>.202</w:t>
            </w:r>
            <w:r w:rsidR="000155AC" w:rsidRPr="001B069C">
              <w:rPr>
                <w:rFonts w:cs="Times New Roman"/>
                <w:sz w:val="18"/>
                <w:szCs w:val="18"/>
              </w:rPr>
              <w:t>4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1B069C">
              <w:rPr>
                <w:rFonts w:cs="Times New Roman"/>
                <w:sz w:val="18"/>
                <w:szCs w:val="18"/>
              </w:rPr>
              <w:t>09</w:t>
            </w:r>
            <w:r w:rsidR="007A01F1" w:rsidRPr="001B069C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1B069C">
              <w:rPr>
                <w:b/>
                <w:sz w:val="18"/>
                <w:szCs w:val="18"/>
              </w:rPr>
              <w:t>рассмотрения</w:t>
            </w:r>
            <w:r w:rsidR="0017111C" w:rsidRPr="001B069C">
              <w:rPr>
                <w:sz w:val="18"/>
                <w:szCs w:val="18"/>
              </w:rPr>
              <w:t xml:space="preserve"> </w:t>
            </w:r>
            <w:r w:rsidRPr="001B069C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1B069C">
              <w:rPr>
                <w:rFonts w:cs="Times New Roman"/>
                <w:sz w:val="18"/>
                <w:szCs w:val="18"/>
              </w:rPr>
              <w:t xml:space="preserve">: дата </w:t>
            </w:r>
            <w:r w:rsidR="00544DB9" w:rsidRPr="001B069C">
              <w:rPr>
                <w:rFonts w:cs="Times New Roman"/>
                <w:sz w:val="18"/>
                <w:szCs w:val="18"/>
              </w:rPr>
              <w:t>06</w:t>
            </w:r>
            <w:r w:rsidRPr="001B069C">
              <w:rPr>
                <w:rFonts w:cs="Times New Roman"/>
                <w:sz w:val="18"/>
                <w:szCs w:val="18"/>
              </w:rPr>
              <w:t>.</w:t>
            </w:r>
            <w:r w:rsidR="000155AC" w:rsidRPr="001B069C">
              <w:rPr>
                <w:rFonts w:cs="Times New Roman"/>
                <w:sz w:val="18"/>
                <w:szCs w:val="18"/>
              </w:rPr>
              <w:t>0</w:t>
            </w:r>
            <w:r w:rsidR="007D30C1" w:rsidRPr="001B069C">
              <w:rPr>
                <w:rFonts w:cs="Times New Roman"/>
                <w:sz w:val="18"/>
                <w:szCs w:val="18"/>
              </w:rPr>
              <w:t>2</w:t>
            </w:r>
            <w:r w:rsidRPr="001B069C">
              <w:rPr>
                <w:rFonts w:cs="Times New Roman"/>
                <w:sz w:val="18"/>
                <w:szCs w:val="18"/>
              </w:rPr>
              <w:t>.202</w:t>
            </w:r>
            <w:r w:rsidR="000155AC" w:rsidRPr="001B069C">
              <w:rPr>
                <w:rFonts w:cs="Times New Roman"/>
                <w:sz w:val="18"/>
                <w:szCs w:val="18"/>
              </w:rPr>
              <w:t>4</w:t>
            </w:r>
            <w:r w:rsidRPr="001B069C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B069C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1B069C">
              <w:rPr>
                <w:rFonts w:cs="Times New Roman"/>
                <w:sz w:val="18"/>
                <w:szCs w:val="18"/>
              </w:rPr>
              <w:t>:</w:t>
            </w:r>
            <w:r w:rsidR="001B069C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1B069C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1B069C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1B069C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1B069C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1B069C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1B069C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1B069C">
              <w:rPr>
                <w:sz w:val="18"/>
                <w:szCs w:val="18"/>
              </w:rPr>
              <w:t xml:space="preserve">             </w:t>
            </w:r>
            <w:r w:rsidR="0017111C" w:rsidRPr="001B069C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1B069C">
              <w:rPr>
                <w:sz w:val="18"/>
                <w:szCs w:val="18"/>
              </w:rPr>
              <w:t xml:space="preserve"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</w:t>
            </w:r>
            <w:r w:rsidR="0017111C" w:rsidRPr="001B069C">
              <w:rPr>
                <w:sz w:val="18"/>
                <w:szCs w:val="18"/>
              </w:rPr>
              <w:lastRenderedPageBreak/>
              <w:t>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1B069C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1B069C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1B069C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1B069C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1B069C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1B069C">
              <w:rPr>
                <w:rFonts w:cs="Times New Roman"/>
                <w:sz w:val="18"/>
                <w:szCs w:val="18"/>
              </w:rPr>
              <w:t xml:space="preserve">.    </w:t>
            </w:r>
            <w:r w:rsidRPr="001B069C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1B069C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1B069C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1B069C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1B069C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1B069C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1B069C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1B069C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1B069C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1B069C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1B069C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1B069C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1B069C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1B069C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1B069C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1B069C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1B069C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1B069C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1B069C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1B069C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1B069C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1B069C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1B069C">
              <w:rPr>
                <w:rFonts w:cs="Times New Roman"/>
                <w:sz w:val="18"/>
                <w:szCs w:val="18"/>
              </w:rPr>
              <w:t xml:space="preserve">      6) оригинал справки налогового органа Республики </w:t>
            </w:r>
            <w:r w:rsidRPr="001B069C">
              <w:rPr>
                <w:rFonts w:cs="Times New Roman"/>
                <w:sz w:val="18"/>
                <w:szCs w:val="18"/>
              </w:rPr>
              <w:lastRenderedPageBreak/>
              <w:t>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1B069C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1B069C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1B069C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1B069C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1B069C">
              <w:rPr>
                <w:rFonts w:cs="Times New Roman"/>
                <w:sz w:val="18"/>
                <w:szCs w:val="18"/>
              </w:rPr>
              <w:t>рабочих</w:t>
            </w:r>
            <w:r w:rsidRPr="001B069C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1B069C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1B069C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44DB9" w:rsidRPr="001B069C" w:rsidTr="00A83B0A">
        <w:tc>
          <w:tcPr>
            <w:tcW w:w="4927" w:type="dxa"/>
          </w:tcPr>
          <w:p w:rsidR="00544DB9" w:rsidRPr="001B069C" w:rsidRDefault="00544DB9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</w:tcPr>
          <w:p w:rsidR="00544DB9" w:rsidRPr="001B069C" w:rsidRDefault="00544DB9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E4253F" w:rsidRPr="001B069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1B069C" w:rsidTr="00F65F58">
        <w:tc>
          <w:tcPr>
            <w:tcW w:w="3085" w:type="dxa"/>
            <w:vAlign w:val="center"/>
          </w:tcPr>
          <w:p w:rsidR="007A01F1" w:rsidRPr="001B069C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1B069C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1B069C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1B069C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1B0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1B069C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1B069C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1B069C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1B069C" w:rsidRDefault="0080080F" w:rsidP="0048597F">
      <w:pPr>
        <w:rPr>
          <w:rFonts w:cs="Times New Roman"/>
          <w:sz w:val="16"/>
          <w:szCs w:val="16"/>
        </w:rPr>
      </w:pPr>
      <w:r w:rsidRPr="001B069C">
        <w:rPr>
          <w:rFonts w:cs="Times New Roman"/>
          <w:i/>
          <w:sz w:val="16"/>
          <w:szCs w:val="16"/>
        </w:rPr>
        <w:t>8-727-278-04-44</w:t>
      </w:r>
    </w:p>
    <w:sectPr w:rsidR="0086053E" w:rsidRPr="001B069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04B83"/>
    <w:rsid w:val="000155AC"/>
    <w:rsid w:val="00020133"/>
    <w:rsid w:val="00023FC3"/>
    <w:rsid w:val="00026F71"/>
    <w:rsid w:val="00034096"/>
    <w:rsid w:val="00047263"/>
    <w:rsid w:val="0005257F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C22A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069C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E6878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974FF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44DB9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364C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57D0E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0C1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57452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4C6C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379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E797E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344D5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B6E05"/>
    <w:rsid w:val="00DC09CA"/>
    <w:rsid w:val="00DC56C3"/>
    <w:rsid w:val="00DD599A"/>
    <w:rsid w:val="00DE2F15"/>
    <w:rsid w:val="00DE7C77"/>
    <w:rsid w:val="00DF0189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201A"/>
    <w:rsid w:val="00FC4CE5"/>
    <w:rsid w:val="00FD227B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4DCA-3743-4A56-AB2B-3A7EA9B0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316</cp:revision>
  <cp:lastPrinted>2024-02-16T04:32:00Z</cp:lastPrinted>
  <dcterms:created xsi:type="dcterms:W3CDTF">2019-01-15T05:22:00Z</dcterms:created>
  <dcterms:modified xsi:type="dcterms:W3CDTF">2024-02-16T04:33:00Z</dcterms:modified>
</cp:coreProperties>
</file>