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834ABA" w:rsidRDefault="00D02D36" w:rsidP="0048597F">
      <w:pPr>
        <w:jc w:val="center"/>
        <w:rPr>
          <w:rFonts w:cs="Times New Roman"/>
          <w:b/>
          <w:sz w:val="28"/>
          <w:szCs w:val="28"/>
        </w:rPr>
      </w:pPr>
      <w:r w:rsidRPr="00834ABA">
        <w:rPr>
          <w:rFonts w:cs="Times New Roman"/>
          <w:b/>
          <w:sz w:val="28"/>
          <w:szCs w:val="28"/>
        </w:rPr>
        <w:t>Объявления</w:t>
      </w:r>
    </w:p>
    <w:p w:rsidR="00D42C09" w:rsidRPr="00834ABA" w:rsidRDefault="00D42C09" w:rsidP="0048597F">
      <w:pPr>
        <w:jc w:val="center"/>
        <w:rPr>
          <w:b/>
          <w:color w:val="000000"/>
          <w:sz w:val="28"/>
          <w:szCs w:val="28"/>
        </w:rPr>
      </w:pPr>
      <w:r w:rsidRPr="00834ABA">
        <w:rPr>
          <w:b/>
          <w:color w:val="000000"/>
          <w:sz w:val="28"/>
          <w:szCs w:val="28"/>
        </w:rPr>
        <w:t xml:space="preserve">в области науки, научной и (или) </w:t>
      </w:r>
    </w:p>
    <w:p w:rsidR="00694C51" w:rsidRPr="00834ABA" w:rsidRDefault="00D42C09" w:rsidP="0048597F">
      <w:pPr>
        <w:jc w:val="center"/>
        <w:rPr>
          <w:b/>
          <w:color w:val="000000"/>
          <w:sz w:val="28"/>
          <w:szCs w:val="28"/>
        </w:rPr>
      </w:pPr>
      <w:r w:rsidRPr="00834ABA">
        <w:rPr>
          <w:b/>
          <w:color w:val="000000"/>
          <w:sz w:val="28"/>
          <w:szCs w:val="28"/>
        </w:rPr>
        <w:t>научно-технической деятельности</w:t>
      </w:r>
    </w:p>
    <w:p w:rsidR="00D42C09" w:rsidRPr="00834ABA" w:rsidRDefault="00D42C09" w:rsidP="0048597F">
      <w:pPr>
        <w:jc w:val="center"/>
        <w:rPr>
          <w:rFonts w:cs="Times New Roman"/>
          <w:sz w:val="20"/>
          <w:szCs w:val="20"/>
        </w:rPr>
      </w:pPr>
    </w:p>
    <w:p w:rsidR="0080080F" w:rsidRPr="00834ABA" w:rsidRDefault="0080080F" w:rsidP="0048597F">
      <w:pPr>
        <w:rPr>
          <w:rFonts w:cs="Times New Roman"/>
          <w:sz w:val="20"/>
          <w:szCs w:val="20"/>
        </w:rPr>
      </w:pPr>
      <w:proofErr w:type="spellStart"/>
      <w:r w:rsidRPr="00834ABA">
        <w:rPr>
          <w:rFonts w:cs="Times New Roman"/>
          <w:sz w:val="20"/>
          <w:szCs w:val="20"/>
        </w:rPr>
        <w:t>г</w:t>
      </w:r>
      <w:proofErr w:type="gramStart"/>
      <w:r w:rsidRPr="00834ABA">
        <w:rPr>
          <w:rFonts w:cs="Times New Roman"/>
          <w:sz w:val="20"/>
          <w:szCs w:val="20"/>
        </w:rPr>
        <w:t>.А</w:t>
      </w:r>
      <w:proofErr w:type="gramEnd"/>
      <w:r w:rsidRPr="00834ABA">
        <w:rPr>
          <w:rFonts w:cs="Times New Roman"/>
          <w:sz w:val="20"/>
          <w:szCs w:val="20"/>
        </w:rPr>
        <w:t>лматы</w:t>
      </w:r>
      <w:proofErr w:type="spellEnd"/>
      <w:r w:rsidRPr="00834ABA">
        <w:rPr>
          <w:rFonts w:cs="Times New Roman"/>
          <w:sz w:val="20"/>
          <w:szCs w:val="20"/>
        </w:rPr>
        <w:t xml:space="preserve"> </w:t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="00562323" w:rsidRPr="00834ABA">
        <w:rPr>
          <w:rFonts w:cs="Times New Roman"/>
          <w:sz w:val="20"/>
          <w:szCs w:val="20"/>
        </w:rPr>
        <w:tab/>
      </w:r>
      <w:r w:rsidR="00562323"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 xml:space="preserve"> «</w:t>
      </w:r>
      <w:r w:rsidR="001A0E3C">
        <w:rPr>
          <w:rFonts w:cs="Times New Roman"/>
          <w:sz w:val="20"/>
          <w:szCs w:val="20"/>
          <w:lang w:val="kk-KZ"/>
        </w:rPr>
        <w:t>17</w:t>
      </w:r>
      <w:r w:rsidRPr="00834ABA">
        <w:rPr>
          <w:rFonts w:cs="Times New Roman"/>
          <w:sz w:val="20"/>
          <w:szCs w:val="20"/>
        </w:rPr>
        <w:t xml:space="preserve">» </w:t>
      </w:r>
      <w:r w:rsidR="003F534B" w:rsidRPr="00834ABA">
        <w:rPr>
          <w:rFonts w:cs="Times New Roman"/>
          <w:sz w:val="20"/>
          <w:szCs w:val="20"/>
        </w:rPr>
        <w:t xml:space="preserve">марта </w:t>
      </w:r>
      <w:r w:rsidR="00C04CAB" w:rsidRPr="00834ABA">
        <w:rPr>
          <w:rFonts w:cs="Times New Roman"/>
          <w:sz w:val="20"/>
          <w:szCs w:val="20"/>
        </w:rPr>
        <w:t xml:space="preserve"> </w:t>
      </w:r>
      <w:r w:rsidR="00D42C09" w:rsidRPr="00834ABA">
        <w:rPr>
          <w:rFonts w:cs="Times New Roman"/>
          <w:sz w:val="20"/>
          <w:szCs w:val="20"/>
        </w:rPr>
        <w:t>2025</w:t>
      </w:r>
      <w:r w:rsidRPr="00834ABA">
        <w:rPr>
          <w:rFonts w:cs="Times New Roman"/>
          <w:sz w:val="20"/>
          <w:szCs w:val="20"/>
        </w:rPr>
        <w:t xml:space="preserve"> года</w:t>
      </w:r>
    </w:p>
    <w:p w:rsidR="00D53757" w:rsidRPr="00834ABA" w:rsidRDefault="00D53757" w:rsidP="0048597F">
      <w:pPr>
        <w:rPr>
          <w:rFonts w:cs="Times New Roman"/>
          <w:sz w:val="20"/>
          <w:szCs w:val="20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F762B8" w:rsidRPr="00834ABA" w:rsidTr="00F762B8">
        <w:tc>
          <w:tcPr>
            <w:tcW w:w="5211" w:type="dxa"/>
          </w:tcPr>
          <w:p w:rsidR="001B519E" w:rsidRPr="00834ABA" w:rsidRDefault="00C04CAB" w:rsidP="00C04CAB">
            <w:pPr>
              <w:jc w:val="both"/>
              <w:rPr>
                <w:rStyle w:val="ezkurwreuab5ozgtqnkl"/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АҚ «</w:t>
            </w:r>
            <w:proofErr w:type="spellStart"/>
            <w:r w:rsidRPr="00834ABA">
              <w:rPr>
                <w:sz w:val="22"/>
                <w:szCs w:val="22"/>
              </w:rPr>
              <w:t>А.Н.Сызғанов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атындағы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Ұлттық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хирургия </w:t>
            </w:r>
            <w:proofErr w:type="spellStart"/>
            <w:r w:rsidRPr="00834ABA">
              <w:rPr>
                <w:sz w:val="22"/>
                <w:szCs w:val="22"/>
              </w:rPr>
              <w:t>орталығы</w:t>
            </w:r>
            <w:proofErr w:type="spellEnd"/>
            <w:r w:rsidRPr="00834ABA">
              <w:rPr>
                <w:sz w:val="22"/>
                <w:szCs w:val="22"/>
              </w:rPr>
              <w:t xml:space="preserve">» </w:t>
            </w:r>
            <w:r w:rsidR="000B2212" w:rsidRPr="00834ABA">
              <w:rPr>
                <w:rStyle w:val="ezkurwreuab5ozgtqnkl"/>
                <w:sz w:val="22"/>
                <w:szCs w:val="22"/>
              </w:rPr>
              <w:t>4</w:t>
            </w:r>
            <w:r w:rsidR="000B2212" w:rsidRPr="00834ABA">
              <w:rPr>
                <w:sz w:val="22"/>
                <w:szCs w:val="22"/>
              </w:rPr>
              <w:t>-</w:t>
            </w:r>
            <w:r w:rsidR="000B2212" w:rsidRPr="00834ABA">
              <w:rPr>
                <w:rStyle w:val="ezkurwreuab5ozgtqnkl"/>
                <w:sz w:val="22"/>
                <w:szCs w:val="22"/>
              </w:rPr>
              <w:t>баптың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2</w:t>
            </w:r>
            <w:r w:rsidR="000B2212" w:rsidRPr="00834ABA">
              <w:rPr>
                <w:sz w:val="22"/>
                <w:szCs w:val="22"/>
              </w:rPr>
              <w:t>-</w:t>
            </w:r>
            <w:r w:rsidR="000B2212" w:rsidRPr="00834ABA">
              <w:rPr>
                <w:rStyle w:val="ezkurwreuab5ozgtqnkl"/>
                <w:sz w:val="22"/>
                <w:szCs w:val="22"/>
              </w:rPr>
              <w:t>тармағына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834ABA" w:rsidRPr="00834ABA">
              <w:rPr>
                <w:sz w:val="22"/>
                <w:szCs w:val="22"/>
              </w:rPr>
              <w:t>«</w:t>
            </w:r>
            <w:proofErr w:type="spellStart"/>
            <w:r w:rsidR="00834ABA" w:rsidRPr="00834ABA">
              <w:rPr>
                <w:sz w:val="22"/>
                <w:szCs w:val="22"/>
              </w:rPr>
              <w:t>Ғ</w:t>
            </w:r>
            <w:r w:rsidR="000B2212" w:rsidRPr="00834ABA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834ABA" w:rsidRPr="00834ABA">
              <w:rPr>
                <w:rStyle w:val="ezkurwreuab5ozgtqnkl"/>
                <w:sz w:val="22"/>
                <w:szCs w:val="22"/>
              </w:rPr>
              <w:t>»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2024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1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№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103-VIII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заңы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әр</w:t>
            </w:r>
            <w:proofErr w:type="gramStart"/>
            <w:r w:rsidR="000B2212" w:rsidRPr="00834ABA">
              <w:rPr>
                <w:sz w:val="22"/>
                <w:szCs w:val="22"/>
              </w:rPr>
              <w:t>і</w:t>
            </w:r>
            <w:r w:rsidR="00834ABA" w:rsidRPr="00834ABA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834ABA" w:rsidRPr="00834ABA">
              <w:rPr>
                <w:rStyle w:val="ezkurwreuab5ozgtqnkl"/>
                <w:sz w:val="22"/>
                <w:szCs w:val="22"/>
              </w:rPr>
              <w:t>З</w:t>
            </w:r>
            <w:r w:rsidR="000B2212" w:rsidRPr="00834ABA">
              <w:rPr>
                <w:rStyle w:val="ezkurwreuab5ozgtqnkl"/>
                <w:sz w:val="22"/>
                <w:szCs w:val="22"/>
              </w:rPr>
              <w:t>аң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)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)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бойынша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.</w:t>
            </w:r>
          </w:p>
          <w:p w:rsidR="00834ABA" w:rsidRPr="00834ABA" w:rsidRDefault="00834ABA" w:rsidP="00C04CAB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Сондай</w:t>
            </w:r>
            <w:r w:rsidRPr="00834ABA">
              <w:rPr>
                <w:sz w:val="22"/>
                <w:szCs w:val="22"/>
              </w:rPr>
              <w:t>-ақ</w:t>
            </w:r>
            <w:proofErr w:type="spellEnd"/>
            <w:r w:rsidRPr="00834ABA">
              <w:rPr>
                <w:sz w:val="22"/>
                <w:szCs w:val="22"/>
              </w:rPr>
              <w:t xml:space="preserve"> «</w:t>
            </w:r>
            <w:proofErr w:type="spellStart"/>
            <w:r w:rsidRPr="00834ABA">
              <w:rPr>
                <w:sz w:val="22"/>
                <w:szCs w:val="22"/>
              </w:rPr>
              <w:t>Ғ</w:t>
            </w:r>
            <w:r w:rsidRPr="00834ABA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мен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)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оқу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орнынан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Pr="00834ABA">
              <w:rPr>
                <w:sz w:val="22"/>
                <w:szCs w:val="22"/>
              </w:rPr>
              <w:t xml:space="preserve"> беру </w:t>
            </w:r>
            <w:proofErr w:type="spellStart"/>
            <w:r w:rsidRPr="00834ABA">
              <w:rPr>
                <w:sz w:val="22"/>
                <w:szCs w:val="22"/>
              </w:rPr>
              <w:t>ұйымдарының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бюджет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есебінен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мен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,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,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қызметтерді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бі</w:t>
            </w:r>
            <w:proofErr w:type="gramStart"/>
            <w:r w:rsidRPr="00834ABA">
              <w:rPr>
                <w:rStyle w:val="ezkurwreuab5ozgtqnkl"/>
                <w:sz w:val="22"/>
                <w:szCs w:val="22"/>
              </w:rPr>
              <w:t>л</w:t>
            </w:r>
            <w:proofErr w:type="gramEnd"/>
            <w:r w:rsidRPr="00834ABA">
              <w:rPr>
                <w:rStyle w:val="ezkurwreuab5ozgtqnkl"/>
                <w:sz w:val="22"/>
                <w:szCs w:val="22"/>
              </w:rPr>
              <w:t>ім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.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r w:rsidRPr="00834ABA">
              <w:rPr>
                <w:sz w:val="22"/>
                <w:szCs w:val="22"/>
              </w:rPr>
              <w:t>Ұйымдастырушы</w:t>
            </w:r>
            <w:proofErr w:type="spellEnd"/>
            <w:r w:rsidRPr="00834ABA">
              <w:rPr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беруші</w:t>
            </w:r>
            <w:proofErr w:type="spellEnd"/>
            <w:r w:rsidRPr="00834ABA">
              <w:rPr>
                <w:sz w:val="22"/>
                <w:szCs w:val="22"/>
              </w:rPr>
              <w:t>)</w:t>
            </w:r>
            <w:r w:rsidR="00DD10A0" w:rsidRPr="00834ABA">
              <w:rPr>
                <w:sz w:val="22"/>
                <w:szCs w:val="22"/>
              </w:rPr>
              <w:t xml:space="preserve"> – АҚ «А.Н. </w:t>
            </w:r>
            <w:proofErr w:type="spellStart"/>
            <w:r w:rsidR="00DD10A0" w:rsidRPr="00834ABA">
              <w:rPr>
                <w:sz w:val="22"/>
                <w:szCs w:val="22"/>
              </w:rPr>
              <w:t>Сызғанов</w:t>
            </w:r>
            <w:proofErr w:type="spellEnd"/>
            <w:r w:rsidR="00DD10A0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D10A0" w:rsidRPr="00834ABA">
              <w:rPr>
                <w:sz w:val="22"/>
                <w:szCs w:val="22"/>
              </w:rPr>
              <w:t>атындағы</w:t>
            </w:r>
            <w:proofErr w:type="spellEnd"/>
            <w:r w:rsidR="00DD10A0"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sz w:val="22"/>
                <w:szCs w:val="22"/>
              </w:rPr>
              <w:t>ҰҒХО»</w:t>
            </w:r>
            <w:proofErr w:type="gramStart"/>
            <w:r w:rsidRPr="00834ABA">
              <w:rPr>
                <w:sz w:val="22"/>
                <w:szCs w:val="22"/>
              </w:rPr>
              <w:t xml:space="preserve"> .</w:t>
            </w:r>
            <w:proofErr w:type="gramEnd"/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34ABA">
              <w:rPr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мекенжайы</w:t>
            </w:r>
            <w:proofErr w:type="spellEnd"/>
            <w:r w:rsidRPr="00834ABA">
              <w:rPr>
                <w:sz w:val="22"/>
                <w:szCs w:val="22"/>
              </w:rPr>
              <w:t xml:space="preserve">: </w:t>
            </w:r>
            <w:proofErr w:type="spellStart"/>
            <w:r w:rsidRPr="00834ABA">
              <w:rPr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sz w:val="22"/>
                <w:szCs w:val="22"/>
              </w:rPr>
              <w:t xml:space="preserve">, Алматы, </w:t>
            </w:r>
            <w:proofErr w:type="spellStart"/>
            <w:r w:rsidRPr="00834ABA">
              <w:rPr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көшесі</w:t>
            </w:r>
            <w:proofErr w:type="spellEnd"/>
            <w:r w:rsidRPr="00834ABA">
              <w:rPr>
                <w:sz w:val="22"/>
                <w:szCs w:val="22"/>
              </w:rPr>
              <w:t xml:space="preserve"> 51.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БСН: 990240008204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r w:rsidRPr="00834ABA">
              <w:rPr>
                <w:sz w:val="22"/>
                <w:szCs w:val="22"/>
              </w:rPr>
              <w:t>Байланыс</w:t>
            </w:r>
            <w:proofErr w:type="spellEnd"/>
            <w:r w:rsidRPr="00834ABA">
              <w:rPr>
                <w:sz w:val="22"/>
                <w:szCs w:val="22"/>
              </w:rPr>
              <w:t xml:space="preserve"> телефоны: 87272780444</w:t>
            </w:r>
          </w:p>
          <w:p w:rsidR="00C04CAB" w:rsidRPr="00834ABA" w:rsidRDefault="00C04CAB" w:rsidP="00C04CAB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E-</w:t>
            </w:r>
            <w:proofErr w:type="spellStart"/>
            <w:r w:rsidRPr="00834ABA">
              <w:rPr>
                <w:sz w:val="22"/>
                <w:szCs w:val="22"/>
              </w:rPr>
              <w:t>mail</w:t>
            </w:r>
            <w:proofErr w:type="spellEnd"/>
            <w:r w:rsidRPr="00834ABA">
              <w:rPr>
                <w:sz w:val="22"/>
                <w:szCs w:val="22"/>
              </w:rPr>
              <w:t xml:space="preserve">: </w:t>
            </w:r>
            <w:hyperlink r:id="rId7" w:history="1">
              <w:r w:rsidRPr="00834ABA">
                <w:rPr>
                  <w:rStyle w:val="a5"/>
                  <w:color w:val="auto"/>
                  <w:sz w:val="22"/>
                  <w:szCs w:val="22"/>
                </w:rPr>
                <w:t>2792240@mail.ru</w:t>
              </w:r>
            </w:hyperlink>
            <w:r w:rsidRPr="00834A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C04CAB" w:rsidRPr="00834ABA" w:rsidRDefault="00C04CAB" w:rsidP="00D42C09">
            <w:pPr>
              <w:jc w:val="both"/>
              <w:rPr>
                <w:rStyle w:val="s1"/>
                <w:bCs w:val="0"/>
                <w:color w:val="auto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АО «Национальный научный центр хирургии имени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»</w:t>
            </w:r>
            <w:r w:rsidR="001B519E"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Fonts w:cs="Times New Roman"/>
                <w:sz w:val="22"/>
                <w:szCs w:val="22"/>
              </w:rPr>
              <w:t xml:space="preserve">в соответствии с пунктом 2, статьи </w:t>
            </w:r>
            <w:r w:rsidR="001B519E" w:rsidRPr="00834ABA">
              <w:rPr>
                <w:rFonts w:cs="Times New Roman"/>
                <w:sz w:val="22"/>
                <w:szCs w:val="22"/>
              </w:rPr>
              <w:t>4</w:t>
            </w:r>
            <w:r w:rsidRPr="00834ABA">
              <w:rPr>
                <w:rFonts w:cs="Times New Roman"/>
                <w:sz w:val="22"/>
                <w:szCs w:val="22"/>
              </w:rPr>
              <w:t xml:space="preserve"> Закон Республики Казахстан</w:t>
            </w:r>
            <w:r w:rsidR="00D42C09"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42C09" w:rsidRPr="00834ABA">
              <w:rPr>
                <w:color w:val="000000"/>
                <w:sz w:val="22"/>
                <w:szCs w:val="22"/>
              </w:rPr>
              <w:t>№ 103-VIII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42C09" w:rsidRPr="00834ABA">
              <w:rPr>
                <w:rFonts w:cs="Times New Roman"/>
                <w:sz w:val="22"/>
                <w:szCs w:val="22"/>
              </w:rPr>
              <w:t xml:space="preserve">от </w:t>
            </w:r>
            <w:proofErr w:type="spellStart"/>
            <w:proofErr w:type="gramStart"/>
            <w:r w:rsidR="00D42C09" w:rsidRPr="00834ABA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D42C09" w:rsidRPr="00834ABA">
              <w:rPr>
                <w:color w:val="000000"/>
                <w:sz w:val="22"/>
                <w:szCs w:val="22"/>
              </w:rPr>
              <w:t xml:space="preserve"> 1 июля 2024 года </w:t>
            </w:r>
            <w:r w:rsidRPr="00834ABA">
              <w:rPr>
                <w:rFonts w:cs="Times New Roman"/>
                <w:sz w:val="22"/>
                <w:szCs w:val="22"/>
              </w:rPr>
              <w:t>«</w:t>
            </w:r>
            <w:r w:rsidR="001B519E" w:rsidRPr="00834ABA">
              <w:rPr>
                <w:sz w:val="22"/>
                <w:szCs w:val="22"/>
              </w:rPr>
              <w:t>О науке и технологической политике</w:t>
            </w:r>
            <w:r w:rsidRPr="00834ABA">
              <w:rPr>
                <w:rFonts w:cs="Times New Roman"/>
                <w:sz w:val="22"/>
                <w:szCs w:val="22"/>
              </w:rPr>
              <w:t xml:space="preserve">» </w:t>
            </w:r>
            <w:r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(далее-Закон) </w:t>
            </w:r>
            <w:r w:rsidR="001B519E"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объявляет о проведении </w:t>
            </w:r>
            <w:r w:rsidR="00DD10A0"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приобретения </w:t>
            </w:r>
            <w:r w:rsidR="001B519E" w:rsidRPr="00834ABA">
              <w:rPr>
                <w:sz w:val="22"/>
                <w:szCs w:val="22"/>
              </w:rPr>
              <w:t xml:space="preserve">по </w:t>
            </w:r>
            <w:r w:rsidR="001B519E" w:rsidRPr="00834ABA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Pr="00834ABA">
              <w:rPr>
                <w:rStyle w:val="s1"/>
                <w:color w:val="auto"/>
                <w:sz w:val="22"/>
                <w:szCs w:val="22"/>
              </w:rPr>
              <w:t xml:space="preserve">. </w:t>
            </w:r>
            <w:r w:rsidR="00834ABA" w:rsidRPr="00834ABA">
              <w:rPr>
                <w:rStyle w:val="s1"/>
                <w:b w:val="0"/>
                <w:color w:val="auto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834ABA" w:rsidRPr="00834ABA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834ABA" w:rsidRPr="00834ABA">
              <w:rPr>
                <w:rStyle w:val="s1"/>
                <w:b w:val="0"/>
                <w:color w:val="auto"/>
                <w:sz w:val="22"/>
                <w:szCs w:val="22"/>
              </w:rPr>
              <w:t>».</w:t>
            </w:r>
          </w:p>
          <w:p w:rsidR="00C04CAB" w:rsidRPr="00834ABA" w:rsidRDefault="00C04CAB" w:rsidP="00C04CAB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Организатор (Заказчик) – АО «ННЦХ им.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». 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51.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u w:val="single"/>
                <w:lang w:eastAsia="en-US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>E-</w:t>
            </w:r>
            <w:proofErr w:type="spellStart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>mail</w:t>
            </w:r>
            <w:proofErr w:type="spellEnd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 xml:space="preserve">: </w:t>
            </w:r>
            <w:hyperlink r:id="rId8" w:history="1">
              <w:r w:rsidRPr="00834ABA">
                <w:rPr>
                  <w:rStyle w:val="a5"/>
                  <w:rFonts w:eastAsiaTheme="minorHAnsi" w:cs="Times New Roman"/>
                  <w:color w:val="auto"/>
                  <w:kern w:val="0"/>
                  <w:sz w:val="22"/>
                  <w:szCs w:val="22"/>
                  <w:lang w:eastAsia="en-US"/>
                </w:rPr>
                <w:t>2792240@mail.ru</w:t>
              </w:r>
            </w:hyperlink>
          </w:p>
        </w:tc>
      </w:tr>
    </w:tbl>
    <w:p w:rsidR="00C04CAB" w:rsidRPr="00834ABA" w:rsidRDefault="00C04CAB" w:rsidP="0048597F">
      <w:pPr>
        <w:jc w:val="both"/>
        <w:rPr>
          <w:rStyle w:val="a5"/>
          <w:rFonts w:eastAsiaTheme="minorHAnsi" w:cs="Times New Roman"/>
          <w:color w:val="auto"/>
          <w:kern w:val="0"/>
          <w:sz w:val="20"/>
          <w:szCs w:val="20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10"/>
        <w:gridCol w:w="1276"/>
        <w:gridCol w:w="1276"/>
        <w:gridCol w:w="1447"/>
        <w:gridCol w:w="1388"/>
      </w:tblGrid>
      <w:tr w:rsidR="00F762B8" w:rsidRPr="00834ABA" w:rsidTr="00F762B8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010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834ABA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834ABA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Цена за единицу по лоту</w:t>
            </w:r>
          </w:p>
        </w:tc>
        <w:tc>
          <w:tcPr>
            <w:tcW w:w="1388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Выделенная сумма</w:t>
            </w:r>
          </w:p>
        </w:tc>
      </w:tr>
      <w:tr w:rsidR="00D57D6C" w:rsidRPr="00834ABA" w:rsidTr="00F762B8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</w:tcPr>
          <w:p w:rsidR="00D57D6C" w:rsidRPr="00834ABA" w:rsidRDefault="00D57D6C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10" w:type="dxa"/>
            <w:shd w:val="clear" w:color="000000" w:fill="FFFFFF"/>
            <w:vAlign w:val="center"/>
          </w:tcPr>
          <w:p w:rsidR="00D57D6C" w:rsidRPr="00834ABA" w:rsidRDefault="00D57D6C" w:rsidP="00D57D6C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Сканирующий спектрофотометр одноканальный должен быть со встроенным пьедесталом должен измерять содержание ДНК, РНК и белков при работе с микро-объемами образцов; Минимальный рабочий объем образца для измерения на спектрофотометре должен быть не более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предел обнаружения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в пьедестале не менее 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Спектрофотометр должен иметь предел обнаружения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в пьедестале не менее 0,06 (0,03) мг/мл; Спектрофотометр должен иметь максимальную концентрацию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27 500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; Спектрофотометр должен иметь максимальную концентрацию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 не менее 820 (400) мг/мл; Спектрофотометр должен иметь время измерения не более 8 сек. за образец;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повторяемость измерений не более 0.002А (1.00 мм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path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или не более 1% СV; Спектрофотометр должен иметь диапазон волны измерения от не менее чем 190 до не более, чем 850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 с точностью ±1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фотометрические характеристики диапазон абсорбции при использовании пьедестала от не менее чем 0 до не более, чем 550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фотометрические характеристики точности измерений не более 3% при 0.97 A, 302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разрешение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диапозон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спектрофотометра) ≤ 1.8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(FWHM при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Hg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254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); Спектрофотометр должен иметь длину оптического пути должна определяться автоматически в диапазоне от не менее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0,03 до не более, чем 1; Спектрофотометр должен быть оснащен ксеноновой лампой в качестве источника света; Спектрофотометра должен быть оснащен CMOS линейным сенсором со встроенными не менее чем 2048 элементами; Спектрофотометр должен иметь ширину не более 200 </w:t>
            </w:r>
            <w:r w:rsidRPr="00834ABA">
              <w:rPr>
                <w:color w:val="000000"/>
                <w:sz w:val="16"/>
                <w:szCs w:val="16"/>
              </w:rPr>
              <w:lastRenderedPageBreak/>
              <w:t>мм.; Спектрофотометр должен иметь высоту не более 323 мм.; Спектрофотометр должен иметь глубину не более 254 мм.; Спектрофотометр должен иметь вес не более 3,6 кг.; Спектрофотометр должен иметь рабочее напряжение не более 12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постоянного тока; Спектрофотометр должен иметь энергопотребление при работе в диапазоне не более чем от 12 до 18 Вт, в режиме ожидания не более чем 5 Вт; Спектрофотометр должен иметь заводскую предустановленную операционную систему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Android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процессор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Quad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ARM Cortex-A9;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иметь встроенный цветной сенсорный экран совместимый с работой в перчатках не менее 7 дюймов с высоким разрешением не менее чем 1280 × 800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пикс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многоточечный емкостной сенсорный экран; Спектрофотометр должен иметь распознавание жестов, а именно нажатие на одну точку, удержание точки нажатой, провести пальцем в сторону, сделать двумя пальцами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щипательное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движение;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встроенную память не менее 32 ГБ; Спектрофотометр должен иметь встроенные динамики; Спектрофотометр должен иметь встроенные порты USB-A не менее 3 шт.,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proofErr w:type="gram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поддерживать подключения принтера,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-клавиатуры, мыши и сканера штрих-кодов;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следующие приложения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A260, A260/A280, A260/A230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A280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A205,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Pierce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660,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Bradford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BCA,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Lowry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OD600,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Kinetics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, UV-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Vis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кастомные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методы; Спектрофотометр должен поддерживать подключение к бесплатному облаку для хранения данных от производителя спектрофотометра;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экспорт данных через USB,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на персональный компьютер; Спектрофотометр должен иметь встроенное программное обеспечение для определения примесей в образце и точной концентрации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аналита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благодаря сложному программному обеспечению; Спектрофотометр должен иметь встроенные приложения для количественного определения ДНК, РНК и белков, полных спектральных данных и соотношений чистоты (260/280, 260/230); </w:t>
            </w:r>
            <w:proofErr w:type="gramEnd"/>
          </w:p>
          <w:p w:rsidR="00D57D6C" w:rsidRPr="00834ABA" w:rsidRDefault="00D57D6C" w:rsidP="00D57D6C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Сопутствующие документы на медицинскую технику: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 xml:space="preserve"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ранее </w:t>
            </w:r>
            <w:r w:rsidRPr="00834ABA">
              <w:rPr>
                <w:bCs/>
                <w:sz w:val="16"/>
                <w:szCs w:val="16"/>
                <w:lang w:eastAsia="ko-KR"/>
              </w:rPr>
              <w:t>2024 года</w:t>
            </w: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Поставщик гарантирует, что товары: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1) являются новыми, неиспользованными, новейшими либо серийными моделями, отражающими все последние модификации конструкций и материалов;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Заказчика;</w:t>
            </w:r>
          </w:p>
          <w:p w:rsidR="00D57D6C" w:rsidRPr="00834ABA" w:rsidRDefault="00D57D6C" w:rsidP="00D57D6C">
            <w:pPr>
              <w:ind w:firstLine="708"/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Упаковка и маркировка ящиков, а также документация внутри и вне ее должны строго соответствовать законодательству Республики Казахстан </w:t>
            </w:r>
            <w:r w:rsidRPr="00834ABA">
              <w:rPr>
                <w:color w:val="000000"/>
                <w:sz w:val="16"/>
                <w:szCs w:val="16"/>
              </w:rPr>
              <w:t>Хранение и транспортировка</w:t>
            </w:r>
            <w:r w:rsidRPr="00834ABA">
              <w:rPr>
                <w:sz w:val="16"/>
                <w:szCs w:val="16"/>
              </w:rPr>
              <w:t xml:space="preserve"> товара должна соответствовать </w:t>
            </w:r>
            <w:r w:rsidRPr="00834ABA">
              <w:rPr>
                <w:color w:val="000000"/>
                <w:sz w:val="16"/>
                <w:szCs w:val="16"/>
              </w:rPr>
              <w:t>согласно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color w:val="000000"/>
                <w:sz w:val="16"/>
                <w:szCs w:val="16"/>
              </w:rPr>
              <w:t>Приказа МЗ РК от 16.02.2021 года № Қ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ДСМ-19 «Об утверждении правил хранения и транспортировки лекарственных средств и медицинских изделий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». </w:t>
            </w:r>
            <w:r w:rsidRPr="00834ABA">
              <w:rPr>
                <w:bCs/>
                <w:sz w:val="16"/>
                <w:szCs w:val="16"/>
              </w:rPr>
              <w:t>Каждый комплект Товара должен быть снабжен комплектом технической и эксплуатационной документации с переводом содержания на государственном, русском и английском языках.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Наличие «Государственной регистрации в Республике Казахстан», отсутствие необходимости регистрации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  <w:p w:rsidR="00D57D6C" w:rsidRPr="00834ABA" w:rsidRDefault="00D57D6C" w:rsidP="00D57D6C">
            <w:pPr>
              <w:ind w:firstLine="708"/>
              <w:jc w:val="both"/>
              <w:rPr>
                <w:bCs/>
                <w:sz w:val="16"/>
                <w:szCs w:val="16"/>
              </w:rPr>
            </w:pPr>
            <w:r w:rsidRPr="00834ABA">
              <w:rPr>
                <w:bCs/>
                <w:sz w:val="16"/>
                <w:szCs w:val="16"/>
              </w:rPr>
              <w:t xml:space="preserve">Товары, относящиеся к измерительным средствам, должны быть внесены в реестр </w:t>
            </w:r>
            <w:r w:rsidRPr="00834ABA">
              <w:rPr>
                <w:bCs/>
                <w:sz w:val="16"/>
                <w:szCs w:val="16"/>
              </w:rPr>
              <w:lastRenderedPageBreak/>
              <w:t xml:space="preserve">государственной </w:t>
            </w:r>
            <w:proofErr w:type="gramStart"/>
            <w:r w:rsidRPr="00834ABA">
              <w:rPr>
                <w:bCs/>
                <w:sz w:val="16"/>
                <w:szCs w:val="16"/>
              </w:rPr>
              <w:t>системы обеспечения единства измерений Республики</w:t>
            </w:r>
            <w:proofErr w:type="gramEnd"/>
            <w:r w:rsidRPr="00834ABA">
              <w:rPr>
                <w:bCs/>
                <w:sz w:val="16"/>
                <w:szCs w:val="16"/>
              </w:rPr>
              <w:t xml:space="preserve"> Казахстан в соответствии с законодательством Республики Казахстан об обеспечении единства измерений. С предоставлением документа «Сертификат о</w:t>
            </w:r>
            <w:r w:rsidRPr="00834ABA">
              <w:rPr>
                <w:color w:val="000000"/>
                <w:sz w:val="16"/>
                <w:szCs w:val="16"/>
                <w:shd w:val="clear" w:color="auto" w:fill="FFFFFF"/>
              </w:rPr>
              <w:t>б утверждении типа средства измерений</w:t>
            </w:r>
            <w:r w:rsidRPr="00834ABA">
              <w:rPr>
                <w:bCs/>
                <w:sz w:val="16"/>
                <w:szCs w:val="16"/>
              </w:rPr>
              <w:t xml:space="preserve">» с поверкой на текущий год. </w:t>
            </w:r>
          </w:p>
          <w:p w:rsidR="00D57D6C" w:rsidRPr="00834ABA" w:rsidRDefault="00D57D6C" w:rsidP="00D57D6C">
            <w:pPr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Гарантийное сервисное обслуживание: </w:t>
            </w:r>
          </w:p>
          <w:p w:rsidR="00D57D6C" w:rsidRPr="00834ABA" w:rsidRDefault="00D57D6C" w:rsidP="00D57D6C">
            <w:pPr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Гарантийное сервисное обслуживание на поставляемую медицинскую технику действительно в течение </w:t>
            </w:r>
            <w:r w:rsidR="00B05AD4" w:rsidRPr="00834ABA">
              <w:rPr>
                <w:sz w:val="16"/>
                <w:szCs w:val="16"/>
              </w:rPr>
              <w:t>12</w:t>
            </w:r>
            <w:r w:rsidRPr="00834ABA">
              <w:rPr>
                <w:sz w:val="16"/>
                <w:szCs w:val="16"/>
              </w:rPr>
              <w:t xml:space="preserve"> (</w:t>
            </w:r>
            <w:r w:rsidR="00B05AD4" w:rsidRPr="00834ABA">
              <w:rPr>
                <w:sz w:val="16"/>
                <w:szCs w:val="16"/>
              </w:rPr>
              <w:t>двенадцати</w:t>
            </w:r>
            <w:r w:rsidRPr="00834ABA">
              <w:rPr>
                <w:sz w:val="16"/>
                <w:szCs w:val="16"/>
              </w:rPr>
              <w:t>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В случае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:rsidR="00D57D6C" w:rsidRPr="00834ABA" w:rsidRDefault="00D57D6C" w:rsidP="00D57D6C">
            <w:pPr>
              <w:jc w:val="both"/>
              <w:rPr>
                <w:sz w:val="16"/>
                <w:szCs w:val="16"/>
              </w:rPr>
            </w:pPr>
            <w:r w:rsidRPr="00834ABA">
              <w:rPr>
                <w:b/>
                <w:color w:val="000000"/>
                <w:sz w:val="16"/>
                <w:szCs w:val="16"/>
              </w:rPr>
              <w:t>Сопутствующие услуги:</w:t>
            </w:r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bCs/>
                <w:sz w:val="16"/>
                <w:szCs w:val="16"/>
              </w:rPr>
              <w:t xml:space="preserve">В стоимость товара входит: </w:t>
            </w:r>
            <w:r w:rsidRPr="00834ABA">
              <w:rPr>
                <w:sz w:val="16"/>
                <w:szCs w:val="16"/>
              </w:rPr>
              <w:t>производство, процедура таможенной очистки, оценка безопасности и качества, хранение, транспортировка, отгрузка до пункта назначения, подключение, ввод в эксплуатацию, обучение персонала.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Поставщик обязан обеспечить сопровождение процесса поставки товара квалифицированными специалистами, имеющими документальное подтверждение</w:t>
            </w:r>
            <w:r w:rsidRPr="00834ABA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Pr="00834ABA">
              <w:rPr>
                <w:sz w:val="16"/>
                <w:szCs w:val="16"/>
              </w:rPr>
              <w:t>для конкретного типа медицинской техники.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D6C" w:rsidRPr="00834ABA" w:rsidRDefault="00D57D6C" w:rsidP="00F04AC9">
            <w:pPr>
              <w:rPr>
                <w:rFonts w:cs="Times New Roman"/>
                <w:sz w:val="18"/>
                <w:szCs w:val="18"/>
              </w:rPr>
            </w:pPr>
            <w:r w:rsidRPr="00834ABA">
              <w:rPr>
                <w:rFonts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D6C" w:rsidRPr="00834ABA" w:rsidRDefault="00D57D6C" w:rsidP="00920220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D57D6C" w:rsidRPr="00834ABA" w:rsidRDefault="00D57D6C" w:rsidP="00920220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D57D6C" w:rsidRPr="00834ABA" w:rsidRDefault="00D57D6C" w:rsidP="00A56C79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</w:tr>
    </w:tbl>
    <w:p w:rsidR="00C04CAB" w:rsidRPr="00834ABA" w:rsidRDefault="00C04CAB" w:rsidP="00D23A74">
      <w:pPr>
        <w:jc w:val="both"/>
        <w:rPr>
          <w:rFonts w:cs="Times New Roman"/>
          <w:sz w:val="20"/>
          <w:szCs w:val="20"/>
        </w:rPr>
      </w:pPr>
    </w:p>
    <w:p w:rsidR="00085E23" w:rsidRPr="00834ABA" w:rsidRDefault="00085E23" w:rsidP="00D23A74">
      <w:pPr>
        <w:jc w:val="both"/>
        <w:rPr>
          <w:rFonts w:cs="Times New Roman"/>
          <w:sz w:val="20"/>
          <w:szCs w:val="20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085E23" w:rsidRPr="00834ABA" w:rsidTr="00E25D9E">
        <w:tc>
          <w:tcPr>
            <w:tcW w:w="4928" w:type="dxa"/>
          </w:tcPr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9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185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341,00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тоғыз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миллион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сексен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бес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sz w:val="22"/>
                <w:szCs w:val="22"/>
              </w:rPr>
              <w:t>үш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қырық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бір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="00B05AD4" w:rsidRPr="00834ABA">
              <w:rPr>
                <w:rFonts w:cs="Times New Roman"/>
                <w:sz w:val="22"/>
                <w:szCs w:val="22"/>
              </w:rPr>
              <w:t xml:space="preserve"> ҚҚС </w:t>
            </w:r>
            <w:proofErr w:type="gramStart"/>
            <w:r w:rsidR="00B05AD4" w:rsidRPr="00834ABA">
              <w:rPr>
                <w:rFonts w:cs="Times New Roman"/>
                <w:sz w:val="22"/>
                <w:szCs w:val="22"/>
              </w:rPr>
              <w:t>-м</w:t>
            </w:r>
            <w:proofErr w:type="gramEnd"/>
            <w:r w:rsidR="00B05AD4" w:rsidRPr="00834ABA">
              <w:rPr>
                <w:rFonts w:cs="Times New Roman"/>
                <w:sz w:val="22"/>
                <w:szCs w:val="22"/>
              </w:rPr>
              <w:t>ен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Тауарды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жеткізу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өтінімі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бойынша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rFonts w:cs="Times New Roman"/>
                <w:sz w:val="22"/>
                <w:szCs w:val="22"/>
              </w:rPr>
              <w:t>20</w:t>
            </w:r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="00D57D6C" w:rsidRPr="00834ABA">
              <w:rPr>
                <w:rFonts w:cs="Times New Roman"/>
                <w:sz w:val="22"/>
                <w:szCs w:val="22"/>
              </w:rPr>
              <w:t>жиырма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күнтізбелік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үні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ішінде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жеткізіледі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Тауарды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жеткізу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орны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АҚ «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А.Н.Сызғанов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», Алматы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ауданы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62.</w:t>
            </w:r>
          </w:p>
          <w:p w:rsidR="002B162C" w:rsidRPr="00834ABA" w:rsidRDefault="002B162C" w:rsidP="002B162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Төлем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шарттары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Тараптар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жүкқұ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жат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қа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қойған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ЭШФ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ресімдеген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күнтізбелік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30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отыз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ішінде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Ұсыну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орны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соңғы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мерзі</w:t>
            </w:r>
            <w:proofErr w:type="gramStart"/>
            <w:r w:rsidRPr="00834ABA">
              <w:rPr>
                <w:rFonts w:cs="Times New Roman"/>
                <w:b/>
                <w:sz w:val="22"/>
                <w:szCs w:val="22"/>
              </w:rPr>
              <w:t>м</w:t>
            </w:r>
            <w:proofErr w:type="gramEnd"/>
            <w:r w:rsidRPr="00834ABA">
              <w:rPr>
                <w:rFonts w:cs="Times New Roman"/>
                <w:b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Алматы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ауданы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51, 201 кабинет,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1A0E3C">
              <w:rPr>
                <w:rFonts w:cs="Times New Roman"/>
                <w:sz w:val="22"/>
                <w:szCs w:val="22"/>
                <w:lang w:val="kk-KZ"/>
              </w:rPr>
              <w:t>26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03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2025</w:t>
            </w:r>
            <w:r w:rsidRPr="00834ABA">
              <w:rPr>
                <w:rFonts w:cs="Times New Roman"/>
                <w:sz w:val="22"/>
                <w:szCs w:val="22"/>
              </w:rPr>
              <w:t xml:space="preserve"> ж.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уақыты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: 10:00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          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Қатысу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құжаттар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тігілген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нөмірленген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түрде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мөрленген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конвертте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ұсынылады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мөрмен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бекітіледі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Конвертте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ұйымдастырушының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b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жазылуға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тиіс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сәйкестігін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растайтын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жаттар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мынадай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талаптар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қойылады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Кодекстің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ережелеріне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lastRenderedPageBreak/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орган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айқындаған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тәртіппен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тіркеудің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болуы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2)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орган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бекіткен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тасымалдау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қағидаларына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қауіпсіздігін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тиімділігі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сапасын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қамтамасыз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ететін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жағдайларда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тасымалдау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3)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тіркелмеген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әкелу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жағдайларын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қоспағанда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дәрілік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таңбалаудың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тұтынушылық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қолдану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нұсқаулықтың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заңнамасының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талаптарына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орган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белгілеген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тәртіпке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сәйкестігі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4)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өні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жеткізген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м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кемінде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пайызы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жылдан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кем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кезде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кемінде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он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ай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жыл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одан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5)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азаматтық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әрекет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6)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7)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шешімдерді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тікелей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жанама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абылдау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қабылданатын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шешімдерге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ықпал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етуге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бар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алуды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ұйымдастырушының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мүшелерімен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өкілдерімен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аффилиирленбеген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>8)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электрондық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үкімет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веб-порталы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төлеуші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кабинеті"веб-қосымшасы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арқылы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алынған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іріс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органдарында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есепке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жүргізілетін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берешектің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жоқ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(бар)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екендігі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9)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банкроттық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не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тарату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әсіміне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жатпайды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10)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есірткі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құралдарының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психотроптық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айналымы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арналған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лицензияның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көтерме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бөлшек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саудада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өткізу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тоқтатылғаны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не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рұқсаттар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алынған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жіберілген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электрондық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құжат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тү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көшірмелері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;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ақпараттық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жүйелерінде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расталады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ақпараттық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жүйелерінде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болмаған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өнім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есірткі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lastRenderedPageBreak/>
              <w:t>құралдарының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психотроптық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айналымы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лицензияның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көтерме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бөлшек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саудада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өткізу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тоқтатылғаны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нотариат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куәландырған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ұсынады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 "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ұқсаттар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>11)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құрмай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құжаттың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12)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қайта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</w:t>
            </w:r>
            <w:proofErr w:type="spellEnd"/>
            <w:proofErr w:type="gramStart"/>
            <w:r w:rsidRPr="00834ABA">
              <w:rPr>
                <w:rFonts w:cs="Times New Roman"/>
                <w:sz w:val="22"/>
                <w:szCs w:val="22"/>
              </w:rPr>
              <w:t>)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анықтама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куәліктің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паспорттың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Default="00085E23" w:rsidP="001055F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13)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жарғысының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егер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жарғыда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қатысушылардың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акционерлердің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акцияларды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ұстаушылар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тізілімінен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үзінді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қатысушылардың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үзінді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жарияланған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кейін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шартының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ұсынылады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834ABA" w:rsidRDefault="00834ABA" w:rsidP="001055FF">
            <w:pPr>
              <w:jc w:val="both"/>
              <w:rPr>
                <w:lang w:val="kk-KZ"/>
              </w:rPr>
            </w:pPr>
            <w:r w:rsidRPr="00834ABA">
              <w:rPr>
                <w:rStyle w:val="ezkurwreuab5ozgtqnkl"/>
                <w:lang w:val="kk-KZ"/>
              </w:rPr>
              <w:t>14)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баға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ұсынысы</w:t>
            </w:r>
            <w:r w:rsidRPr="00834ABA">
              <w:rPr>
                <w:lang w:val="kk-KZ"/>
              </w:rPr>
              <w:t xml:space="preserve">; </w:t>
            </w:r>
          </w:p>
          <w:p w:rsidR="00834ABA" w:rsidRPr="00834ABA" w:rsidRDefault="00834ABA" w:rsidP="001055F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834ABA">
              <w:rPr>
                <w:rStyle w:val="ezkurwreuab5ozgtqnkl"/>
                <w:lang w:val="kk-KZ"/>
              </w:rPr>
              <w:t>15)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ұсынылатын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тауардың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техникалық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ерекшелігін</w:t>
            </w:r>
            <w:r w:rsidRPr="00834ABA">
              <w:rPr>
                <w:lang w:val="kk-KZ"/>
              </w:rPr>
              <w:t>;</w:t>
            </w:r>
          </w:p>
          <w:p w:rsidR="00085E23" w:rsidRPr="001A0E3C" w:rsidRDefault="00085E23" w:rsidP="00667E4A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1A0E3C">
              <w:rPr>
                <w:rFonts w:cs="Times New Roman"/>
                <w:sz w:val="22"/>
                <w:szCs w:val="22"/>
                <w:lang w:val="kk-KZ"/>
              </w:rPr>
              <w:t xml:space="preserve">Тапсырыс беруші күнтізбелік </w:t>
            </w:r>
            <w:r w:rsidR="00667E4A" w:rsidRPr="001A0E3C">
              <w:rPr>
                <w:rFonts w:cs="Times New Roman"/>
                <w:sz w:val="22"/>
                <w:szCs w:val="22"/>
                <w:lang w:val="kk-KZ"/>
              </w:rPr>
              <w:t>бес</w:t>
            </w:r>
            <w:r w:rsidRPr="001A0E3C">
              <w:rPr>
                <w:rFonts w:cs="Times New Roman"/>
                <w:sz w:val="22"/>
                <w:szCs w:val="22"/>
                <w:lang w:val="kk-KZ"/>
              </w:rPr>
              <w:t xml:space="preserve"> күн ішінде қорытындылар хаттамасын қалыптастырады және жеңімпаз анықталған күннен кейін әлеуетті өнім берушіге қол қойылған шартты жібереді.</w:t>
            </w:r>
          </w:p>
        </w:tc>
        <w:tc>
          <w:tcPr>
            <w:tcW w:w="5245" w:type="dxa"/>
          </w:tcPr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lastRenderedPageBreak/>
              <w:t>Выделенная сумма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color w:val="000000"/>
                <w:sz w:val="22"/>
                <w:szCs w:val="22"/>
              </w:rPr>
              <w:t>9 185 341,00</w:t>
            </w:r>
            <w:r w:rsidR="00D57D6C"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Pr="00834ABA">
              <w:rPr>
                <w:rFonts w:cs="Times New Roman"/>
                <w:sz w:val="22"/>
                <w:szCs w:val="22"/>
              </w:rPr>
              <w:t>(</w:t>
            </w:r>
            <w:r w:rsidR="00D57D6C" w:rsidRPr="00834ABA">
              <w:rPr>
                <w:rFonts w:cs="Times New Roman"/>
                <w:sz w:val="22"/>
                <w:szCs w:val="22"/>
              </w:rPr>
              <w:t>девять миллионов сто восемьдесят пять тысяч триста сорок одна</w:t>
            </w:r>
            <w:r w:rsidRPr="00834ABA">
              <w:rPr>
                <w:rFonts w:cs="Times New Roman"/>
                <w:sz w:val="22"/>
                <w:szCs w:val="22"/>
              </w:rPr>
              <w:t>) тенге</w:t>
            </w:r>
            <w:r w:rsidR="00B05AD4" w:rsidRPr="00834ABA">
              <w:rPr>
                <w:rFonts w:cs="Times New Roman"/>
                <w:sz w:val="22"/>
                <w:szCs w:val="22"/>
              </w:rPr>
              <w:t xml:space="preserve"> с учетом НДС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Поставка товара:</w:t>
            </w:r>
            <w:r w:rsidRPr="00834ABA">
              <w:rPr>
                <w:rFonts w:cs="Times New Roman"/>
                <w:sz w:val="22"/>
                <w:szCs w:val="22"/>
              </w:rPr>
              <w:t xml:space="preserve"> производиться в течение </w:t>
            </w:r>
            <w:r w:rsidR="00D57D6C" w:rsidRPr="00834ABA">
              <w:rPr>
                <w:rFonts w:cs="Times New Roman"/>
                <w:sz w:val="22"/>
                <w:szCs w:val="22"/>
              </w:rPr>
              <w:t>20</w:t>
            </w:r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r w:rsidR="00D57D6C" w:rsidRPr="00834ABA">
              <w:rPr>
                <w:rFonts w:cs="Times New Roman"/>
                <w:sz w:val="22"/>
                <w:szCs w:val="22"/>
              </w:rPr>
              <w:t>двадцать</w:t>
            </w:r>
            <w:r w:rsidRPr="00834ABA">
              <w:rPr>
                <w:rFonts w:cs="Times New Roman"/>
                <w:sz w:val="22"/>
                <w:szCs w:val="22"/>
              </w:rPr>
              <w:t>) календар</w:t>
            </w:r>
            <w:bookmarkStart w:id="0" w:name="_GoBack"/>
            <w:bookmarkEnd w:id="0"/>
            <w:r w:rsidRPr="00834ABA">
              <w:rPr>
                <w:rFonts w:cs="Times New Roman"/>
                <w:sz w:val="22"/>
                <w:szCs w:val="22"/>
              </w:rPr>
              <w:t xml:space="preserve">ных дней по заявке Заказчика. 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Место поставки товара:</w:t>
            </w:r>
            <w:r w:rsidRPr="00834ABA">
              <w:rPr>
                <w:rFonts w:cs="Times New Roman"/>
                <w:sz w:val="22"/>
                <w:szCs w:val="22"/>
              </w:rPr>
              <w:t xml:space="preserve"> АО «Национальный научный центр хирургии им.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», г. Алматы,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Алмалинский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/н, ул.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Желтоксан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62.</w:t>
            </w:r>
          </w:p>
          <w:p w:rsidR="002B162C" w:rsidRPr="00834ABA" w:rsidRDefault="002B162C" w:rsidP="002B162C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Условия оплаты:</w:t>
            </w:r>
            <w:r w:rsidRPr="00834ABA">
              <w:rPr>
                <w:rFonts w:cs="Times New Roman"/>
                <w:sz w:val="22"/>
                <w:szCs w:val="22"/>
              </w:rPr>
              <w:t xml:space="preserve"> в течение 30 (тридцати) календарных дней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 даты подписания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Сторонами накладной и оформления ЭСФ.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Место и окончательный срок предоставления</w:t>
            </w:r>
            <w:r w:rsidRPr="00834ABA">
              <w:rPr>
                <w:rFonts w:cs="Times New Roman"/>
                <w:sz w:val="22"/>
                <w:szCs w:val="22"/>
              </w:rPr>
              <w:t xml:space="preserve"> документов г. Алматы,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Алмалинский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/н, ул.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Желтоксан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51, кабинет 201, дата </w:t>
            </w:r>
            <w:r w:rsidR="001A0E3C">
              <w:rPr>
                <w:rFonts w:cs="Times New Roman"/>
                <w:sz w:val="22"/>
                <w:szCs w:val="22"/>
                <w:lang w:val="kk-KZ"/>
              </w:rPr>
              <w:t>26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03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2025</w:t>
            </w:r>
            <w:r w:rsidRPr="00834ABA">
              <w:rPr>
                <w:rFonts w:cs="Times New Roman"/>
                <w:sz w:val="22"/>
                <w:szCs w:val="22"/>
              </w:rPr>
              <w:t>. время: 10:00 часов.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наименование и юридический адрес Поставщика, Организатора (Заказчика).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1" w:name="z125"/>
            <w:bookmarkStart w:id="2" w:name="z374"/>
            <w:r w:rsidRPr="00834ABA">
              <w:rPr>
                <w:rFonts w:cs="Times New Roman"/>
                <w:sz w:val="22"/>
                <w:szCs w:val="22"/>
              </w:rPr>
              <w:t>     Документы, подтверждающие соответствия медицинских изделий предъявляются следующие требования: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3" w:name="z126"/>
            <w:bookmarkEnd w:id="1"/>
            <w:r w:rsidRPr="00834ABA">
              <w:rPr>
                <w:rFonts w:cs="Times New Roman"/>
                <w:sz w:val="22"/>
                <w:szCs w:val="22"/>
              </w:rPr>
      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</w:t>
            </w:r>
            <w:r w:rsidRPr="00834ABA">
              <w:rPr>
                <w:rFonts w:cs="Times New Roman"/>
                <w:sz w:val="22"/>
                <w:szCs w:val="22"/>
              </w:rPr>
              <w:lastRenderedPageBreak/>
              <w:t>органом в области здравоохранения.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4" w:name="z131"/>
            <w:bookmarkEnd w:id="3"/>
            <w:r w:rsidRPr="00834ABA">
              <w:rPr>
                <w:rFonts w:cs="Times New Roman"/>
                <w:sz w:val="22"/>
                <w:szCs w:val="22"/>
              </w:rPr>
              <w:t>2)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5" w:name="z132"/>
            <w:bookmarkEnd w:id="4"/>
            <w:r w:rsidRPr="00834ABA">
              <w:rPr>
                <w:rFonts w:cs="Times New Roman"/>
                <w:sz w:val="22"/>
                <w:szCs w:val="22"/>
              </w:rPr>
              <w:t>3)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6" w:name="z133"/>
            <w:bookmarkEnd w:id="5"/>
            <w:r w:rsidRPr="00834ABA">
              <w:rPr>
                <w:rFonts w:cs="Times New Roman"/>
                <w:sz w:val="22"/>
                <w:szCs w:val="22"/>
              </w:rPr>
              <w:t>4) срок годности медицинских изделий на дату поставки поставщиком заказчику составляет: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7" w:name="z134"/>
            <w:bookmarkEnd w:id="6"/>
            <w:r w:rsidRPr="00834ABA">
              <w:rPr>
                <w:rFonts w:cs="Times New Roman"/>
                <w:sz w:val="22"/>
                <w:szCs w:val="22"/>
              </w:rPr>
              <w:t>      не менее пятидесяти процентов от указанного срока годности на упаковке (при сроке годности менее двух лет);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8" w:name="z135"/>
            <w:bookmarkEnd w:id="7"/>
            <w:r w:rsidRPr="00834ABA">
              <w:rPr>
                <w:rFonts w:cs="Times New Roman"/>
                <w:sz w:val="22"/>
                <w:szCs w:val="22"/>
              </w:rPr>
              <w:t>      не менее двенадцати месяцев от указанного срока годности на упаковке (при сроке годности два года и более);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9" w:name="z112"/>
            <w:bookmarkEnd w:id="8"/>
            <w:r w:rsidRPr="00834ABA">
              <w:rPr>
                <w:rFonts w:cs="Times New Roman"/>
                <w:sz w:val="22"/>
                <w:szCs w:val="22"/>
              </w:rPr>
              <w:t>5) 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0" w:name="z113"/>
            <w:bookmarkEnd w:id="9"/>
            <w:r w:rsidRPr="00834ABA">
              <w:rPr>
                <w:rFonts w:cs="Times New Roman"/>
                <w:sz w:val="22"/>
                <w:szCs w:val="22"/>
              </w:rPr>
              <w:t>6) правоспособность на осуществление соответствующей фармацевтической деятельности;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1" w:name="z114"/>
            <w:bookmarkEnd w:id="10"/>
            <w:r w:rsidRPr="00834ABA">
              <w:rPr>
                <w:rFonts w:cs="Times New Roman"/>
                <w:sz w:val="22"/>
                <w:szCs w:val="22"/>
              </w:rPr>
              <w:t>7) не аффилирован с членами и представителями заказчика, организатора закупа, которые имеют право прямо и (или) косвенно принимать решения и (или) оказывать влияние на принимаемые решения;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2" w:name="z115"/>
            <w:bookmarkEnd w:id="11"/>
            <w:r w:rsidRPr="00834ABA">
              <w:rPr>
                <w:rFonts w:cs="Times New Roman"/>
                <w:sz w:val="22"/>
                <w:szCs w:val="22"/>
              </w:rPr>
              <w:t>8)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3" w:name="z116"/>
            <w:bookmarkEnd w:id="12"/>
            <w:r w:rsidRPr="00834ABA">
              <w:rPr>
                <w:rFonts w:cs="Times New Roman"/>
                <w:sz w:val="22"/>
                <w:szCs w:val="22"/>
              </w:rPr>
              <w:t>9) не подлежит процедуре банкротства либо ликвидации.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4" w:name="z387"/>
            <w:proofErr w:type="gramStart"/>
            <w:r w:rsidRPr="00834ABA">
              <w:rPr>
                <w:rFonts w:cs="Times New Roman"/>
                <w:sz w:val="22"/>
                <w:szCs w:val="22"/>
              </w:rPr>
              <w:t xml:space="preserve">10)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 xml:space="preserve">В случае отсутствия сведений в информационных системах государственных органов, потенциальный поставщик представляет нотариально </w:t>
            </w:r>
            <w:r w:rsidRPr="00834ABA">
              <w:rPr>
                <w:rFonts w:cs="Times New Roman"/>
                <w:sz w:val="22"/>
                <w:szCs w:val="22"/>
              </w:rPr>
              <w:lastRenderedPageBreak/>
              <w:t xml:space="preserve">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  <w:proofErr w:type="gramEnd"/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5" w:name="z388"/>
            <w:bookmarkEnd w:id="14"/>
            <w:r w:rsidRPr="00834ABA">
              <w:rPr>
                <w:rFonts w:cs="Times New Roman"/>
                <w:sz w:val="22"/>
                <w:szCs w:val="22"/>
              </w:rPr>
              <w:t>11)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6" w:name="z389"/>
            <w:bookmarkEnd w:id="15"/>
            <w:r w:rsidRPr="00834ABA">
              <w:rPr>
                <w:rFonts w:cs="Times New Roman"/>
                <w:sz w:val="22"/>
                <w:szCs w:val="22"/>
              </w:rPr>
              <w:t>12)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7" w:name="z390"/>
            <w:bookmarkEnd w:id="16"/>
            <w:r w:rsidRPr="00834ABA">
              <w:rPr>
                <w:rFonts w:cs="Times New Roman"/>
                <w:sz w:val="22"/>
                <w:szCs w:val="22"/>
              </w:rPr>
              <w:t>13)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объявления);</w:t>
            </w:r>
          </w:p>
          <w:p w:rsidR="00834ABA" w:rsidRPr="00834ABA" w:rsidRDefault="00834ABA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14) ценовое предложение; </w:t>
            </w:r>
          </w:p>
          <w:p w:rsidR="00834ABA" w:rsidRPr="00834ABA" w:rsidRDefault="00834ABA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15) техническую спецификацию предлагаемого товара; </w:t>
            </w:r>
          </w:p>
          <w:p w:rsidR="00085E23" w:rsidRPr="00834ABA" w:rsidRDefault="00085E23" w:rsidP="00667E4A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8" w:name="z396"/>
            <w:bookmarkEnd w:id="2"/>
            <w:bookmarkEnd w:id="13"/>
            <w:bookmarkEnd w:id="17"/>
            <w:r w:rsidRPr="00834ABA">
              <w:rPr>
                <w:rFonts w:cs="Times New Roman"/>
                <w:sz w:val="22"/>
                <w:szCs w:val="22"/>
              </w:rPr>
              <w:t xml:space="preserve">Заказчик в течение </w:t>
            </w:r>
            <w:r w:rsidR="00667E4A" w:rsidRPr="00834ABA">
              <w:rPr>
                <w:rFonts w:cs="Times New Roman"/>
                <w:sz w:val="22"/>
                <w:szCs w:val="22"/>
              </w:rPr>
              <w:t>пяти</w:t>
            </w:r>
            <w:r w:rsidRPr="00834ABA">
              <w:rPr>
                <w:rFonts w:cs="Times New Roman"/>
                <w:sz w:val="22"/>
                <w:szCs w:val="22"/>
              </w:rPr>
              <w:t xml:space="preserve"> календарных дней формирует протокол итогов и после дня определения победителя направляет потенциальному поставщику подписанный договор.</w:t>
            </w:r>
            <w:bookmarkEnd w:id="18"/>
          </w:p>
        </w:tc>
      </w:tr>
    </w:tbl>
    <w:p w:rsidR="00C04CAB" w:rsidRPr="00834ABA" w:rsidRDefault="00C04CAB" w:rsidP="00D23A74">
      <w:pPr>
        <w:jc w:val="both"/>
        <w:rPr>
          <w:rFonts w:cs="Times New Roman"/>
        </w:rPr>
      </w:pPr>
    </w:p>
    <w:p w:rsidR="00DD10A0" w:rsidRPr="00834ABA" w:rsidRDefault="00DD10A0" w:rsidP="00D23A74">
      <w:pPr>
        <w:jc w:val="both"/>
        <w:rPr>
          <w:rFonts w:cs="Times New Roman"/>
        </w:rPr>
      </w:pPr>
    </w:p>
    <w:p w:rsidR="005A0992" w:rsidRPr="00834ABA" w:rsidRDefault="005A0992" w:rsidP="00DD10A0">
      <w:pPr>
        <w:jc w:val="right"/>
        <w:rPr>
          <w:rFonts w:cs="Times New Roman"/>
          <w:sz w:val="18"/>
          <w:szCs w:val="18"/>
        </w:rPr>
      </w:pPr>
    </w:p>
    <w:p w:rsidR="00FC712B" w:rsidRPr="00834ABA" w:rsidRDefault="00FC712B" w:rsidP="0048597F">
      <w:pPr>
        <w:rPr>
          <w:rFonts w:cs="Times New Roman"/>
          <w:b/>
        </w:rPr>
      </w:pPr>
      <w:r w:rsidRPr="00834ABA">
        <w:rPr>
          <w:rFonts w:cs="Times New Roman"/>
          <w:b/>
        </w:rPr>
        <w:t>Начальник</w:t>
      </w:r>
    </w:p>
    <w:p w:rsidR="0080080F" w:rsidRPr="00834ABA" w:rsidRDefault="00FC712B" w:rsidP="0048597F">
      <w:pPr>
        <w:rPr>
          <w:rFonts w:cs="Times New Roman"/>
        </w:rPr>
      </w:pPr>
      <w:r w:rsidRPr="00834ABA">
        <w:rPr>
          <w:rFonts w:cs="Times New Roman"/>
          <w:b/>
        </w:rPr>
        <w:t xml:space="preserve">отдела по государственным закупкам </w:t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proofErr w:type="spellStart"/>
      <w:r w:rsidRPr="00834ABA">
        <w:rPr>
          <w:rFonts w:cs="Times New Roman"/>
          <w:b/>
        </w:rPr>
        <w:t>Мукажанова</w:t>
      </w:r>
      <w:proofErr w:type="spellEnd"/>
      <w:r w:rsidRPr="00834ABA">
        <w:rPr>
          <w:rFonts w:cs="Times New Roman"/>
          <w:b/>
        </w:rPr>
        <w:t xml:space="preserve"> Н.М.</w:t>
      </w:r>
    </w:p>
    <w:sectPr w:rsidR="0080080F" w:rsidRPr="00834ABA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944"/>
    <w:multiLevelType w:val="hybridMultilevel"/>
    <w:tmpl w:val="DC80B1D4"/>
    <w:lvl w:ilvl="0" w:tplc="29C830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7C60"/>
    <w:multiLevelType w:val="hybridMultilevel"/>
    <w:tmpl w:val="60CE3422"/>
    <w:lvl w:ilvl="0" w:tplc="59C2CFA2">
      <w:numFmt w:val="bullet"/>
      <w:lvlText w:val="-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6984EC0">
      <w:numFmt w:val="bullet"/>
      <w:lvlText w:val="•"/>
      <w:lvlJc w:val="left"/>
      <w:pPr>
        <w:ind w:left="791" w:hanging="145"/>
      </w:pPr>
      <w:rPr>
        <w:rFonts w:hint="default"/>
        <w:lang w:val="kk-KZ" w:eastAsia="en-US" w:bidi="ar-SA"/>
      </w:rPr>
    </w:lvl>
    <w:lvl w:ilvl="2" w:tplc="70C0D46E">
      <w:numFmt w:val="bullet"/>
      <w:lvlText w:val="•"/>
      <w:lvlJc w:val="left"/>
      <w:pPr>
        <w:ind w:left="1322" w:hanging="145"/>
      </w:pPr>
      <w:rPr>
        <w:rFonts w:hint="default"/>
        <w:lang w:val="kk-KZ" w:eastAsia="en-US" w:bidi="ar-SA"/>
      </w:rPr>
    </w:lvl>
    <w:lvl w:ilvl="3" w:tplc="0AB63278">
      <w:numFmt w:val="bullet"/>
      <w:lvlText w:val="•"/>
      <w:lvlJc w:val="left"/>
      <w:pPr>
        <w:ind w:left="1853" w:hanging="145"/>
      </w:pPr>
      <w:rPr>
        <w:rFonts w:hint="default"/>
        <w:lang w:val="kk-KZ" w:eastAsia="en-US" w:bidi="ar-SA"/>
      </w:rPr>
    </w:lvl>
    <w:lvl w:ilvl="4" w:tplc="81E6DEEC">
      <w:numFmt w:val="bullet"/>
      <w:lvlText w:val="•"/>
      <w:lvlJc w:val="left"/>
      <w:pPr>
        <w:ind w:left="2384" w:hanging="145"/>
      </w:pPr>
      <w:rPr>
        <w:rFonts w:hint="default"/>
        <w:lang w:val="kk-KZ" w:eastAsia="en-US" w:bidi="ar-SA"/>
      </w:rPr>
    </w:lvl>
    <w:lvl w:ilvl="5" w:tplc="C7C216BE">
      <w:numFmt w:val="bullet"/>
      <w:lvlText w:val="•"/>
      <w:lvlJc w:val="left"/>
      <w:pPr>
        <w:ind w:left="2915" w:hanging="145"/>
      </w:pPr>
      <w:rPr>
        <w:rFonts w:hint="default"/>
        <w:lang w:val="kk-KZ" w:eastAsia="en-US" w:bidi="ar-SA"/>
      </w:rPr>
    </w:lvl>
    <w:lvl w:ilvl="6" w:tplc="BEE4B1F0">
      <w:numFmt w:val="bullet"/>
      <w:lvlText w:val="•"/>
      <w:lvlJc w:val="left"/>
      <w:pPr>
        <w:ind w:left="3446" w:hanging="145"/>
      </w:pPr>
      <w:rPr>
        <w:rFonts w:hint="default"/>
        <w:lang w:val="kk-KZ" w:eastAsia="en-US" w:bidi="ar-SA"/>
      </w:rPr>
    </w:lvl>
    <w:lvl w:ilvl="7" w:tplc="D184674C">
      <w:numFmt w:val="bullet"/>
      <w:lvlText w:val="•"/>
      <w:lvlJc w:val="left"/>
      <w:pPr>
        <w:ind w:left="3977" w:hanging="145"/>
      </w:pPr>
      <w:rPr>
        <w:rFonts w:hint="default"/>
        <w:lang w:val="kk-KZ" w:eastAsia="en-US" w:bidi="ar-SA"/>
      </w:rPr>
    </w:lvl>
    <w:lvl w:ilvl="8" w:tplc="4DFE62BA">
      <w:numFmt w:val="bullet"/>
      <w:lvlText w:val="•"/>
      <w:lvlJc w:val="left"/>
      <w:pPr>
        <w:ind w:left="4508" w:hanging="145"/>
      </w:pPr>
      <w:rPr>
        <w:rFonts w:hint="default"/>
        <w:lang w:val="kk-KZ" w:eastAsia="en-US" w:bidi="ar-SA"/>
      </w:rPr>
    </w:lvl>
  </w:abstractNum>
  <w:abstractNum w:abstractNumId="4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728F"/>
    <w:multiLevelType w:val="hybridMultilevel"/>
    <w:tmpl w:val="394ECCA4"/>
    <w:lvl w:ilvl="0" w:tplc="67769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20133"/>
    <w:rsid w:val="00034096"/>
    <w:rsid w:val="000531C5"/>
    <w:rsid w:val="00056832"/>
    <w:rsid w:val="00085E23"/>
    <w:rsid w:val="0009393C"/>
    <w:rsid w:val="00095A4B"/>
    <w:rsid w:val="000A1533"/>
    <w:rsid w:val="000A27B1"/>
    <w:rsid w:val="000A4E11"/>
    <w:rsid w:val="000B2212"/>
    <w:rsid w:val="000B52E2"/>
    <w:rsid w:val="000D0793"/>
    <w:rsid w:val="000D1B46"/>
    <w:rsid w:val="000D2585"/>
    <w:rsid w:val="000E2194"/>
    <w:rsid w:val="000E3BA4"/>
    <w:rsid w:val="000E770C"/>
    <w:rsid w:val="000F4CFE"/>
    <w:rsid w:val="000F573C"/>
    <w:rsid w:val="00111DA7"/>
    <w:rsid w:val="001120D6"/>
    <w:rsid w:val="00117419"/>
    <w:rsid w:val="00124D58"/>
    <w:rsid w:val="00125CFE"/>
    <w:rsid w:val="00145962"/>
    <w:rsid w:val="00152E99"/>
    <w:rsid w:val="00166458"/>
    <w:rsid w:val="00172BC0"/>
    <w:rsid w:val="001765DD"/>
    <w:rsid w:val="001811AD"/>
    <w:rsid w:val="0019211C"/>
    <w:rsid w:val="00192B85"/>
    <w:rsid w:val="00194E07"/>
    <w:rsid w:val="001A0E3C"/>
    <w:rsid w:val="001A4CE2"/>
    <w:rsid w:val="001A7587"/>
    <w:rsid w:val="001B489C"/>
    <w:rsid w:val="001B519E"/>
    <w:rsid w:val="001B768D"/>
    <w:rsid w:val="001C0C2C"/>
    <w:rsid w:val="001E7B7D"/>
    <w:rsid w:val="001F24FA"/>
    <w:rsid w:val="00207730"/>
    <w:rsid w:val="0021095A"/>
    <w:rsid w:val="00211EE7"/>
    <w:rsid w:val="00232F07"/>
    <w:rsid w:val="0024330A"/>
    <w:rsid w:val="00265D8B"/>
    <w:rsid w:val="0027501F"/>
    <w:rsid w:val="00290C95"/>
    <w:rsid w:val="0029734F"/>
    <w:rsid w:val="002A308A"/>
    <w:rsid w:val="002B162C"/>
    <w:rsid w:val="002B2BC2"/>
    <w:rsid w:val="002C2FE4"/>
    <w:rsid w:val="002E6929"/>
    <w:rsid w:val="002F2B60"/>
    <w:rsid w:val="002F788C"/>
    <w:rsid w:val="00301B5D"/>
    <w:rsid w:val="00302081"/>
    <w:rsid w:val="003129AC"/>
    <w:rsid w:val="00317477"/>
    <w:rsid w:val="0032207B"/>
    <w:rsid w:val="00324425"/>
    <w:rsid w:val="003249AB"/>
    <w:rsid w:val="0033085D"/>
    <w:rsid w:val="003347CB"/>
    <w:rsid w:val="00340217"/>
    <w:rsid w:val="003469CF"/>
    <w:rsid w:val="003556EC"/>
    <w:rsid w:val="00374BF7"/>
    <w:rsid w:val="00383221"/>
    <w:rsid w:val="003D0931"/>
    <w:rsid w:val="003D3A04"/>
    <w:rsid w:val="003E6F1E"/>
    <w:rsid w:val="003F4CF1"/>
    <w:rsid w:val="003F5008"/>
    <w:rsid w:val="003F534B"/>
    <w:rsid w:val="0040414C"/>
    <w:rsid w:val="00410D0B"/>
    <w:rsid w:val="00434794"/>
    <w:rsid w:val="00437C6A"/>
    <w:rsid w:val="00437CA2"/>
    <w:rsid w:val="00445013"/>
    <w:rsid w:val="00451346"/>
    <w:rsid w:val="00451750"/>
    <w:rsid w:val="004610F5"/>
    <w:rsid w:val="00465DCA"/>
    <w:rsid w:val="00477377"/>
    <w:rsid w:val="004829C7"/>
    <w:rsid w:val="0048407F"/>
    <w:rsid w:val="0048597F"/>
    <w:rsid w:val="00496264"/>
    <w:rsid w:val="004A27C1"/>
    <w:rsid w:val="004D03BF"/>
    <w:rsid w:val="004E4A3A"/>
    <w:rsid w:val="004F68D9"/>
    <w:rsid w:val="00502EDB"/>
    <w:rsid w:val="00507D0D"/>
    <w:rsid w:val="005443E2"/>
    <w:rsid w:val="00553C3C"/>
    <w:rsid w:val="00562323"/>
    <w:rsid w:val="00562902"/>
    <w:rsid w:val="005673FF"/>
    <w:rsid w:val="0058073F"/>
    <w:rsid w:val="005973CB"/>
    <w:rsid w:val="005A0992"/>
    <w:rsid w:val="005A3BA9"/>
    <w:rsid w:val="005D31CB"/>
    <w:rsid w:val="005E10D7"/>
    <w:rsid w:val="005F237D"/>
    <w:rsid w:val="00605B16"/>
    <w:rsid w:val="006315AB"/>
    <w:rsid w:val="0063768C"/>
    <w:rsid w:val="00640D35"/>
    <w:rsid w:val="00651F5D"/>
    <w:rsid w:val="00653A61"/>
    <w:rsid w:val="00666AAF"/>
    <w:rsid w:val="00667E4A"/>
    <w:rsid w:val="00685AF2"/>
    <w:rsid w:val="00690753"/>
    <w:rsid w:val="00694C51"/>
    <w:rsid w:val="006B7388"/>
    <w:rsid w:val="006F0BB2"/>
    <w:rsid w:val="006F5C83"/>
    <w:rsid w:val="00701661"/>
    <w:rsid w:val="007030E8"/>
    <w:rsid w:val="007043A3"/>
    <w:rsid w:val="007151CF"/>
    <w:rsid w:val="00720938"/>
    <w:rsid w:val="00721326"/>
    <w:rsid w:val="007223B9"/>
    <w:rsid w:val="00726042"/>
    <w:rsid w:val="00737B3F"/>
    <w:rsid w:val="007475E3"/>
    <w:rsid w:val="007500B0"/>
    <w:rsid w:val="00762AF4"/>
    <w:rsid w:val="007723A0"/>
    <w:rsid w:val="007773A2"/>
    <w:rsid w:val="00791186"/>
    <w:rsid w:val="007B4953"/>
    <w:rsid w:val="007D3FAC"/>
    <w:rsid w:val="007D4CE6"/>
    <w:rsid w:val="007D6ED1"/>
    <w:rsid w:val="007D726A"/>
    <w:rsid w:val="007D7F11"/>
    <w:rsid w:val="0080080F"/>
    <w:rsid w:val="00804B2B"/>
    <w:rsid w:val="00815FE8"/>
    <w:rsid w:val="00834ABA"/>
    <w:rsid w:val="00854526"/>
    <w:rsid w:val="0086053E"/>
    <w:rsid w:val="008D65C8"/>
    <w:rsid w:val="008D6B6F"/>
    <w:rsid w:val="008E5FB5"/>
    <w:rsid w:val="008F4761"/>
    <w:rsid w:val="00900AFF"/>
    <w:rsid w:val="0090711C"/>
    <w:rsid w:val="00910398"/>
    <w:rsid w:val="0092001F"/>
    <w:rsid w:val="00920220"/>
    <w:rsid w:val="00922E33"/>
    <w:rsid w:val="00946F21"/>
    <w:rsid w:val="00956B72"/>
    <w:rsid w:val="009576FE"/>
    <w:rsid w:val="009676AE"/>
    <w:rsid w:val="009708DC"/>
    <w:rsid w:val="009710A9"/>
    <w:rsid w:val="00980552"/>
    <w:rsid w:val="0098596C"/>
    <w:rsid w:val="009A2F9A"/>
    <w:rsid w:val="009A5CCA"/>
    <w:rsid w:val="009A7FA5"/>
    <w:rsid w:val="009B6D94"/>
    <w:rsid w:val="009C67CD"/>
    <w:rsid w:val="009D2607"/>
    <w:rsid w:val="009D4260"/>
    <w:rsid w:val="009F6A07"/>
    <w:rsid w:val="00A10B87"/>
    <w:rsid w:val="00A10E7C"/>
    <w:rsid w:val="00A144EC"/>
    <w:rsid w:val="00A22D44"/>
    <w:rsid w:val="00A259ED"/>
    <w:rsid w:val="00A30EFF"/>
    <w:rsid w:val="00A332A8"/>
    <w:rsid w:val="00A4250E"/>
    <w:rsid w:val="00A46793"/>
    <w:rsid w:val="00A46BA5"/>
    <w:rsid w:val="00A518FA"/>
    <w:rsid w:val="00A534D2"/>
    <w:rsid w:val="00A56CD0"/>
    <w:rsid w:val="00A85D9B"/>
    <w:rsid w:val="00A966A6"/>
    <w:rsid w:val="00AA1CC0"/>
    <w:rsid w:val="00AA2089"/>
    <w:rsid w:val="00AF49ED"/>
    <w:rsid w:val="00AF5191"/>
    <w:rsid w:val="00B05AD4"/>
    <w:rsid w:val="00B14976"/>
    <w:rsid w:val="00B2441D"/>
    <w:rsid w:val="00B2483B"/>
    <w:rsid w:val="00B25283"/>
    <w:rsid w:val="00B27751"/>
    <w:rsid w:val="00B421BE"/>
    <w:rsid w:val="00B67165"/>
    <w:rsid w:val="00B85056"/>
    <w:rsid w:val="00B96CF4"/>
    <w:rsid w:val="00BA038D"/>
    <w:rsid w:val="00BC5928"/>
    <w:rsid w:val="00BC6F57"/>
    <w:rsid w:val="00BD4576"/>
    <w:rsid w:val="00BD5D00"/>
    <w:rsid w:val="00BF2A72"/>
    <w:rsid w:val="00BF3FA6"/>
    <w:rsid w:val="00C03CED"/>
    <w:rsid w:val="00C04CAB"/>
    <w:rsid w:val="00C331C4"/>
    <w:rsid w:val="00C352D3"/>
    <w:rsid w:val="00C44E38"/>
    <w:rsid w:val="00C54F8E"/>
    <w:rsid w:val="00C554E1"/>
    <w:rsid w:val="00C62BA3"/>
    <w:rsid w:val="00C63D02"/>
    <w:rsid w:val="00C81528"/>
    <w:rsid w:val="00C9554B"/>
    <w:rsid w:val="00C95BA5"/>
    <w:rsid w:val="00CA25CE"/>
    <w:rsid w:val="00CB6A1F"/>
    <w:rsid w:val="00CC269A"/>
    <w:rsid w:val="00CC29FE"/>
    <w:rsid w:val="00CD1603"/>
    <w:rsid w:val="00CD1BDF"/>
    <w:rsid w:val="00CD1C30"/>
    <w:rsid w:val="00CD7A62"/>
    <w:rsid w:val="00CF3712"/>
    <w:rsid w:val="00D02C77"/>
    <w:rsid w:val="00D02D36"/>
    <w:rsid w:val="00D041CB"/>
    <w:rsid w:val="00D076A3"/>
    <w:rsid w:val="00D1690C"/>
    <w:rsid w:val="00D23A74"/>
    <w:rsid w:val="00D262CA"/>
    <w:rsid w:val="00D41CE0"/>
    <w:rsid w:val="00D42C09"/>
    <w:rsid w:val="00D45A66"/>
    <w:rsid w:val="00D53757"/>
    <w:rsid w:val="00D57D6C"/>
    <w:rsid w:val="00D62F31"/>
    <w:rsid w:val="00D757F8"/>
    <w:rsid w:val="00D82215"/>
    <w:rsid w:val="00D9500F"/>
    <w:rsid w:val="00DA0726"/>
    <w:rsid w:val="00DA2070"/>
    <w:rsid w:val="00DA217E"/>
    <w:rsid w:val="00DA785A"/>
    <w:rsid w:val="00DC09CA"/>
    <w:rsid w:val="00DC56C3"/>
    <w:rsid w:val="00DD10A0"/>
    <w:rsid w:val="00DE2F15"/>
    <w:rsid w:val="00DE7C77"/>
    <w:rsid w:val="00DF38E5"/>
    <w:rsid w:val="00E01BDB"/>
    <w:rsid w:val="00E11270"/>
    <w:rsid w:val="00E20FFC"/>
    <w:rsid w:val="00E240B7"/>
    <w:rsid w:val="00E25D9E"/>
    <w:rsid w:val="00E27FD5"/>
    <w:rsid w:val="00E3492F"/>
    <w:rsid w:val="00E42C08"/>
    <w:rsid w:val="00E43391"/>
    <w:rsid w:val="00E50379"/>
    <w:rsid w:val="00E85795"/>
    <w:rsid w:val="00E9429A"/>
    <w:rsid w:val="00E95BC4"/>
    <w:rsid w:val="00E971B2"/>
    <w:rsid w:val="00EA074F"/>
    <w:rsid w:val="00EA5A05"/>
    <w:rsid w:val="00EB3866"/>
    <w:rsid w:val="00EB4EF3"/>
    <w:rsid w:val="00EB7499"/>
    <w:rsid w:val="00ED650B"/>
    <w:rsid w:val="00F0313D"/>
    <w:rsid w:val="00F04A5C"/>
    <w:rsid w:val="00F04AC9"/>
    <w:rsid w:val="00F1687D"/>
    <w:rsid w:val="00F7002E"/>
    <w:rsid w:val="00F762B8"/>
    <w:rsid w:val="00F95F7C"/>
    <w:rsid w:val="00FC4CE5"/>
    <w:rsid w:val="00FC6AFA"/>
    <w:rsid w:val="00FC712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6">
    <w:name w:val="Normal Indent"/>
    <w:basedOn w:val="a"/>
    <w:uiPriority w:val="99"/>
    <w:unhideWhenUsed/>
    <w:rsid w:val="00D42C0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D42C09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D42C09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6">
    <w:name w:val="Normal Indent"/>
    <w:basedOn w:val="a"/>
    <w:uiPriority w:val="99"/>
    <w:unhideWhenUsed/>
    <w:rsid w:val="00D42C0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D42C09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D42C09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D59-1A1D-425F-AB92-243238E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180</cp:revision>
  <cp:lastPrinted>2025-03-11T07:07:00Z</cp:lastPrinted>
  <dcterms:created xsi:type="dcterms:W3CDTF">2019-01-15T05:22:00Z</dcterms:created>
  <dcterms:modified xsi:type="dcterms:W3CDTF">2025-03-19T13:02:00Z</dcterms:modified>
</cp:coreProperties>
</file>